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Anti-Bribery and Anti-Corruption Policy</w:t>
      </w:r>
    </w:p>
    <w:bookmarkStart w:id="20" w:name="purpose-and-scope"/>
    <w:p>
      <w:pPr>
        <w:pStyle w:val="Heading2"/>
      </w:pPr>
      <w:r>
        <w:t xml:space="preserve">Purpose and scope</w:t>
      </w:r>
    </w:p>
    <w:p>
      <w:pPr>
        <w:pStyle w:val="FirstParagraph"/>
      </w:pPr>
      <w:r>
        <w:t xml:space="preserve">This policy states Setti Group’s prohibition on bribery and corruption and the controls that make it work. It applies to</w:t>
      </w:r>
      <w:r>
        <w:t xml:space="preserve"> </w:t>
      </w:r>
      <w:r>
        <w:rPr>
          <w:bCs/>
          <w:b/>
        </w:rPr>
        <w:t xml:space="preserve">Setti Group FZC</w:t>
      </w:r>
      <w:r>
        <w:t xml:space="preserve"> </w:t>
      </w:r>
      <w:r>
        <w:t xml:space="preserve">(Sharjah Publishing City Free Zone, UAE) and</w:t>
      </w:r>
      <w:r>
        <w:t xml:space="preserve"> </w:t>
      </w:r>
      <w:r>
        <w:rPr>
          <w:bCs/>
          <w:b/>
        </w:rPr>
        <w:t xml:space="preserve">Setti Group Ltda</w:t>
      </w:r>
      <w:r>
        <w:t xml:space="preserve"> </w:t>
      </w:r>
      <w:r>
        <w:t xml:space="preserve">(CNPJ 69.086.322/0001-00, Fortaleza, Ceará, Brazil; trade name SetFit), together</w:t>
      </w:r>
      <w:r>
        <w:t xml:space="preserve"> </w:t>
      </w:r>
      <w:r>
        <w:t xml:space="preserve">“</w:t>
      </w:r>
      <w:r>
        <w:t xml:space="preserve">Setti Group</w:t>
      </w:r>
      <w:r>
        <w:t xml:space="preserve">”</w:t>
      </w:r>
      <w:r>
        <w:t xml:space="preserve"> </w:t>
      </w:r>
      <w:r>
        <w:t xml:space="preserve">or</w:t>
      </w:r>
      <w:r>
        <w:t xml:space="preserve"> </w:t>
      </w:r>
      <w:r>
        <w:t xml:space="preserve">“</w:t>
      </w:r>
      <w:r>
        <w:t xml:space="preserve">the Group</w:t>
      </w:r>
      <w:r>
        <w:t xml:space="preserve">”</w:t>
      </w:r>
      <w:r>
        <w:t xml:space="preserve">, to all Personnel, and to every agent, intermediary, supplier or counterparty acting for or with the Group.</w:t>
      </w:r>
    </w:p>
    <w:p>
      <w:pPr>
        <w:pStyle w:val="BodyText"/>
      </w:pPr>
      <w:r>
        <w:t xml:space="preserve">It covers HSSE consulting and training, the Arcas GRC and SetFit platforms, and commodity trade intermediation with BS Agrícola Ltda. The commodity business involves frequent contact with port, customs and free-zone authorities and with intermediaries, and is the Group’s highest bribery risk.</w:t>
      </w:r>
    </w:p>
    <w:bookmarkEnd w:id="20"/>
    <w:bookmarkStart w:id="21" w:name="policy-statement"/>
    <w:p>
      <w:pPr>
        <w:pStyle w:val="Heading2"/>
      </w:pPr>
      <w:r>
        <w:t xml:space="preserve">Policy statement</w:t>
      </w:r>
    </w:p>
    <w:p>
      <w:pPr>
        <w:pStyle w:val="FirstParagraph"/>
      </w:pPr>
      <w:r>
        <w:t xml:space="preserve">Setti Group has zero tolerance for bribery and corruption. We do not offer, pay, request or accept bribes of any kind, directly or through others, to public officials or private persons, anywhere in the world. We do not make facilitation payments. We would rather lose a contract, a cargo or a licence than win it improperly. The Group is bound by UAE Federal Decree-Law No. 31/2021, Brazil’s Lei 12.846/2013 and Decreto 11.129/2022, and, for conduct abroad, the UK Bribery Act 2010 and the US FCPA.</w:t>
      </w:r>
    </w:p>
    <w:bookmarkEnd w:id="21"/>
    <w:bookmarkStart w:id="22" w:name="definitions"/>
    <w:p>
      <w:pPr>
        <w:pStyle w:val="Heading2"/>
      </w:pPr>
      <w:r>
        <w:t xml:space="preserve">Definitions</w:t>
      </w:r>
    </w:p>
    <w:p>
      <w:pPr>
        <w:numPr>
          <w:ilvl w:val="0"/>
          <w:numId w:val="1001"/>
        </w:numPr>
        <w:pStyle w:val="Compact"/>
      </w:pPr>
      <w:r>
        <w:rPr>
          <w:bCs/>
          <w:b/>
        </w:rPr>
        <w:t xml:space="preserve">Bribe</w:t>
      </w:r>
      <w:r>
        <w:t xml:space="preserve">: any financial or other advantage offered, promised, given, requested or accepted to induce or reward improper performance of a duty, including cash and equivalents, gifts, hospitality, travel, jobs for relatives, donations, loans, discounts and favours.</w:t>
      </w:r>
    </w:p>
    <w:p>
      <w:pPr>
        <w:numPr>
          <w:ilvl w:val="0"/>
          <w:numId w:val="1001"/>
        </w:numPr>
        <w:pStyle w:val="Compact"/>
      </w:pPr>
      <w:r>
        <w:rPr>
          <w:bCs/>
          <w:b/>
        </w:rPr>
        <w:t xml:space="preserve">Facilitation payment</w:t>
      </w:r>
      <w:r>
        <w:t xml:space="preserve">: a small unofficial payment to a public official to speed up or secure a routine action (customs clearance, berthing, inspection, permits, visas). Facilitation payments are bribes under this policy.</w:t>
      </w:r>
    </w:p>
    <w:p>
      <w:pPr>
        <w:numPr>
          <w:ilvl w:val="0"/>
          <w:numId w:val="1001"/>
        </w:numPr>
        <w:pStyle w:val="Compact"/>
      </w:pPr>
      <w:r>
        <w:rPr>
          <w:bCs/>
          <w:b/>
        </w:rPr>
        <w:t xml:space="preserve">Public official</w:t>
      </w:r>
      <w:r>
        <w:t xml:space="preserve">: any employee or officer of a government, municipality, state-owned enterprise, free-zone authority, port, customs or maritime authority, inspection agency or public international organisation, and any political party official or candidate.</w:t>
      </w:r>
    </w:p>
    <w:p>
      <w:pPr>
        <w:numPr>
          <w:ilvl w:val="0"/>
          <w:numId w:val="1001"/>
        </w:numPr>
        <w:pStyle w:val="Compact"/>
      </w:pPr>
      <w:r>
        <w:rPr>
          <w:bCs/>
          <w:b/>
        </w:rPr>
        <w:t xml:space="preserve">Agent or intermediary</w:t>
      </w:r>
      <w:r>
        <w:t xml:space="preserve">: any third party who acts for the Group or introduces business to it, including brokers, commission agents, freight forwarders and customs brokers.</w:t>
      </w:r>
    </w:p>
    <w:bookmarkEnd w:id="22"/>
    <w:bookmarkStart w:id="23" w:name="responsibilities"/>
    <w:p>
      <w:pPr>
        <w:pStyle w:val="Heading2"/>
      </w:pPr>
      <w:r>
        <w:t xml:space="preserve">Responsibilities</w:t>
      </w:r>
    </w:p>
    <w:p>
      <w:pPr>
        <w:numPr>
          <w:ilvl w:val="0"/>
          <w:numId w:val="1002"/>
        </w:numPr>
        <w:pStyle w:val="Compact"/>
      </w:pPr>
      <w:r>
        <w:t xml:space="preserve">The</w:t>
      </w:r>
      <w:r>
        <w:t xml:space="preserve"> </w:t>
      </w:r>
      <w:r>
        <w:rPr>
          <w:bCs/>
          <w:b/>
        </w:rPr>
        <w:t xml:space="preserve">Founder &amp; Principal</w:t>
      </w:r>
      <w:r>
        <w:t xml:space="preserve"> </w:t>
      </w:r>
      <w:r>
        <w:t xml:space="preserve">owns this policy, approves every agent and intermediary engagement in writing, reviews commission arrangements, keeps the gifts register, and reports suspected corruption to the authorities where required.</w:t>
      </w:r>
    </w:p>
    <w:p>
      <w:pPr>
        <w:numPr>
          <w:ilvl w:val="0"/>
          <w:numId w:val="1002"/>
        </w:numPr>
        <w:pStyle w:val="Compact"/>
      </w:pPr>
      <w:r>
        <w:rPr>
          <w:bCs/>
          <w:b/>
        </w:rPr>
        <w:t xml:space="preserve">Personnel</w:t>
      </w:r>
      <w:r>
        <w:t xml:space="preserve"> </w:t>
      </w:r>
      <w:r>
        <w:t xml:space="preserve">must refuse and immediately report any request or offer of a bribe, record expenses truthfully, and complete anti-bribery training.</w:t>
      </w:r>
    </w:p>
    <w:p>
      <w:pPr>
        <w:numPr>
          <w:ilvl w:val="0"/>
          <w:numId w:val="1002"/>
        </w:numPr>
        <w:pStyle w:val="Compact"/>
      </w:pPr>
      <w:r>
        <w:rPr>
          <w:bCs/>
          <w:b/>
        </w:rPr>
        <w:t xml:space="preserve">Agents, intermediaries and counterparties</w:t>
      </w:r>
      <w:r>
        <w:t xml:space="preserve"> </w:t>
      </w:r>
      <w:r>
        <w:t xml:space="preserve">must accept this policy by contract, provide due diligence information, and keep records available for audit.</w:t>
      </w:r>
    </w:p>
    <w:p>
      <w:pPr>
        <w:numPr>
          <w:ilvl w:val="0"/>
          <w:numId w:val="1002"/>
        </w:numPr>
        <w:pStyle w:val="Compact"/>
      </w:pPr>
      <w:r>
        <w:t xml:space="preserve">The</w:t>
      </w:r>
      <w:r>
        <w:t xml:space="preserve"> </w:t>
      </w:r>
      <w:r>
        <w:rPr>
          <w:bCs/>
          <w:b/>
        </w:rPr>
        <w:t xml:space="preserve">compliance contact</w:t>
      </w:r>
      <w:r>
        <w:t xml:space="preserve"> </w:t>
      </w:r>
      <w:r>
        <w:t xml:space="preserve">(arildo@settigroup.com) answers questions and records exceptions.</w:t>
      </w:r>
    </w:p>
    <w:bookmarkEnd w:id="23"/>
    <w:bookmarkStart w:id="24" w:name="requirements"/>
    <w:p>
      <w:pPr>
        <w:pStyle w:val="Heading2"/>
      </w:pPr>
      <w:r>
        <w:t xml:space="preserve">Requirements</w:t>
      </w:r>
    </w:p>
    <w:p>
      <w:pPr>
        <w:numPr>
          <w:ilvl w:val="0"/>
          <w:numId w:val="1003"/>
        </w:numPr>
        <w:pStyle w:val="Compact"/>
      </w:pPr>
      <w:r>
        <w:rPr>
          <w:bCs/>
          <w:b/>
        </w:rPr>
        <w:t xml:space="preserve">Absolute prohibition.</w:t>
      </w:r>
      <w:r>
        <w:t xml:space="preserve"> </w:t>
      </w:r>
      <w:r>
        <w:t xml:space="preserve">No Personnel or third party acting for the Group may offer, promise, give, request or accept a bribe, regardless of local custom or the amount.</w:t>
      </w:r>
    </w:p>
    <w:p>
      <w:pPr>
        <w:numPr>
          <w:ilvl w:val="0"/>
          <w:numId w:val="1003"/>
        </w:numPr>
        <w:pStyle w:val="Compact"/>
      </w:pPr>
      <w:r>
        <w:rPr>
          <w:bCs/>
          <w:b/>
        </w:rPr>
        <w:t xml:space="preserve">Facilitation payments are prohibited.</w:t>
      </w:r>
      <w:r>
        <w:t xml:space="preserve"> </w:t>
      </w:r>
      <w:r>
        <w:t xml:space="preserve">No payment may be made to any official to expedite customs clearance, port access, berthing, inspection, free-zone licensing, visa processing or any other routine action. If a demand is made, Personnel must refuse, state that Group policy forbids it, ask for an official receipt for any legitimate fee, and report the demand to the Founder &amp; Principal within 24 hours.</w:t>
      </w:r>
    </w:p>
    <w:p>
      <w:pPr>
        <w:numPr>
          <w:ilvl w:val="0"/>
          <w:numId w:val="1003"/>
        </w:numPr>
        <w:pStyle w:val="Compact"/>
      </w:pPr>
      <w:r>
        <w:rPr>
          <w:bCs/>
          <w:b/>
        </w:rPr>
        <w:t xml:space="preserve">Duress exception.</w:t>
      </w:r>
      <w:r>
        <w:t xml:space="preserve"> </w:t>
      </w:r>
      <w:r>
        <w:t xml:space="preserve">A payment made only to protect life, limb or liberty under imminent threat is not a breach, but must be reported within 24 hours and recorded as such.</w:t>
      </w:r>
    </w:p>
    <w:p>
      <w:pPr>
        <w:numPr>
          <w:ilvl w:val="0"/>
          <w:numId w:val="1003"/>
        </w:numPr>
        <w:pStyle w:val="Compact"/>
      </w:pPr>
      <w:r>
        <w:rPr>
          <w:bCs/>
          <w:b/>
        </w:rPr>
        <w:t xml:space="preserve">Public officials.</w:t>
      </w:r>
      <w:r>
        <w:t xml:space="preserve"> </w:t>
      </w:r>
      <w:r>
        <w:t xml:space="preserve">No gift, hospitality, travel, donation or job may be offered to a public official, or a family member, without prior written approval of the Founder &amp; Principal. Approval is refused where the official has a pending decision affecting the Group, its clients or its cargoes. Modest refreshments during an official meeting are permitted.</w:t>
      </w:r>
    </w:p>
    <w:p>
      <w:pPr>
        <w:numPr>
          <w:ilvl w:val="0"/>
          <w:numId w:val="1003"/>
        </w:numPr>
        <w:pStyle w:val="Compact"/>
      </w:pPr>
      <w:r>
        <w:rPr>
          <w:bCs/>
          <w:b/>
        </w:rPr>
        <w:t xml:space="preserve">Agents and intermediaries in commodity trade.</w:t>
      </w:r>
      <w:r>
        <w:t xml:space="preserve"> </w:t>
      </w:r>
      <w:r>
        <w:t xml:space="preserve">Before engaging any agent, broker or introducer, the Group must complete due diligence under the Third-Party Due Diligence and KYC Policy; confirm the commercial rationale and that the commission is proportionate; sign a written contract with anti-bribery undertakings, audit and termination rights; and pay only against an invoice, to a bank account in the agent’s name, in the country where the service is performed or the agent is based.</w:t>
      </w:r>
    </w:p>
    <w:p>
      <w:pPr>
        <w:numPr>
          <w:ilvl w:val="0"/>
          <w:numId w:val="1003"/>
        </w:numPr>
        <w:pStyle w:val="Compact"/>
      </w:pPr>
      <w:r>
        <w:rPr>
          <w:bCs/>
          <w:b/>
        </w:rPr>
        <w:t xml:space="preserve">Red flags that stop the engagement.</w:t>
      </w:r>
      <w:r>
        <w:t xml:space="preserve"> </w:t>
      </w:r>
      <w:r>
        <w:t xml:space="preserve">Personnel must escalate and not proceed where an intermediary requests payment in cash, to a third party or offshore; asks for an unusually high commission or urgent upfront payment; is recommended by a public official; refuses anti-bribery terms; lacks capacity to perform; or has a reputation for improper payments.</w:t>
      </w:r>
    </w:p>
    <w:p>
      <w:pPr>
        <w:numPr>
          <w:ilvl w:val="0"/>
          <w:numId w:val="1003"/>
        </w:numPr>
        <w:pStyle w:val="Compact"/>
      </w:pPr>
      <w:r>
        <w:rPr>
          <w:bCs/>
          <w:b/>
        </w:rPr>
        <w:t xml:space="preserve">Gifts and hospitality</w:t>
      </w:r>
      <w:r>
        <w:t xml:space="preserve"> </w:t>
      </w:r>
      <w:r>
        <w:t xml:space="preserve">given or received must follow the Conflicts of Interest, Gifts and Hospitality Policy, including the USD 100 / BRL 500 threshold and entry in the gifts register.</w:t>
      </w:r>
    </w:p>
    <w:p>
      <w:pPr>
        <w:numPr>
          <w:ilvl w:val="0"/>
          <w:numId w:val="1003"/>
        </w:numPr>
        <w:pStyle w:val="Compact"/>
      </w:pPr>
      <w:r>
        <w:rPr>
          <w:bCs/>
          <w:b/>
        </w:rPr>
        <w:t xml:space="preserve">Charitable donations and sponsorships</w:t>
      </w:r>
      <w:r>
        <w:t xml:space="preserve"> </w:t>
      </w:r>
      <w:r>
        <w:t xml:space="preserve">require prior written approval of the Founder &amp; Principal, must go to registered organisations, must never benefit a public official or client decision-maker, and must be recorded with the reason.</w:t>
      </w:r>
    </w:p>
    <w:p>
      <w:pPr>
        <w:numPr>
          <w:ilvl w:val="0"/>
          <w:numId w:val="1003"/>
        </w:numPr>
        <w:pStyle w:val="Compact"/>
      </w:pPr>
      <w:r>
        <w:rPr>
          <w:bCs/>
          <w:b/>
        </w:rPr>
        <w:t xml:space="preserve">Political contributions.</w:t>
      </w:r>
      <w:r>
        <w:t xml:space="preserve"> </w:t>
      </w:r>
      <w:r>
        <w:t xml:space="preserve">The Group makes none.</w:t>
      </w:r>
    </w:p>
    <w:p>
      <w:pPr>
        <w:numPr>
          <w:ilvl w:val="0"/>
          <w:numId w:val="1003"/>
        </w:numPr>
        <w:pStyle w:val="Compact"/>
      </w:pPr>
      <w:r>
        <w:rPr>
          <w:bCs/>
          <w:b/>
        </w:rPr>
        <w:t xml:space="preserve">Books and records.</w:t>
      </w:r>
      <w:r>
        <w:t xml:space="preserve"> </w:t>
      </w:r>
      <w:r>
        <w:t xml:space="preserve">All transactions must be recorded accurately, completely and in reasonable detail, with invoices, contracts and receipts retained for at least 10 years. No undisclosed accounts, cash funds or false descriptions (</w:t>
      </w:r>
      <w:r>
        <w:t xml:space="preserve">“</w:t>
      </w:r>
      <w:r>
        <w:t xml:space="preserve">consulting fee</w:t>
      </w:r>
      <w:r>
        <w:t xml:space="preserve">”</w:t>
      </w:r>
      <w:r>
        <w:t xml:space="preserve">,</w:t>
      </w:r>
      <w:r>
        <w:t xml:space="preserve"> </w:t>
      </w:r>
      <w:r>
        <w:t xml:space="preserve">“</w:t>
      </w:r>
      <w:r>
        <w:t xml:space="preserve">miscellaneous</w:t>
      </w:r>
      <w:r>
        <w:t xml:space="preserve">”</w:t>
      </w:r>
      <w:r>
        <w:t xml:space="preserve">) may hide a payment. Commission payments must state the related transaction.</w:t>
      </w:r>
    </w:p>
    <w:p>
      <w:pPr>
        <w:numPr>
          <w:ilvl w:val="0"/>
          <w:numId w:val="1003"/>
        </w:numPr>
        <w:pStyle w:val="Compact"/>
      </w:pPr>
      <w:r>
        <w:rPr>
          <w:bCs/>
          <w:b/>
        </w:rPr>
        <w:t xml:space="preserve">Expense claims</w:t>
      </w:r>
      <w:r>
        <w:t xml:space="preserve"> </w:t>
      </w:r>
      <w:r>
        <w:t xml:space="preserve">must name the recipient of any hospitality, their organisation and the business purpose; undocumented claims are not reimbursed.</w:t>
      </w:r>
    </w:p>
    <w:p>
      <w:pPr>
        <w:numPr>
          <w:ilvl w:val="0"/>
          <w:numId w:val="1003"/>
        </w:numPr>
        <w:pStyle w:val="Compact"/>
      </w:pPr>
      <w:r>
        <w:rPr>
          <w:bCs/>
          <w:b/>
        </w:rPr>
        <w:t xml:space="preserve">Private-sector bribery.</w:t>
      </w:r>
      <w:r>
        <w:t xml:space="preserve"> </w:t>
      </w:r>
      <w:r>
        <w:t xml:space="preserve">The prohibition applies equally to private persons: no kickbacks to client purchasing staff, no undisclosed commissions to HSE managers who select training providers, no inducements to SetFit trainers or Arcas GRC buyers.</w:t>
      </w:r>
    </w:p>
    <w:p>
      <w:pPr>
        <w:numPr>
          <w:ilvl w:val="0"/>
          <w:numId w:val="1003"/>
        </w:numPr>
        <w:pStyle w:val="Compact"/>
      </w:pPr>
      <w:r>
        <w:rPr>
          <w:bCs/>
          <w:b/>
        </w:rPr>
        <w:t xml:space="preserve">Contracts</w:t>
      </w:r>
      <w:r>
        <w:t xml:space="preserve"> </w:t>
      </w:r>
      <w:r>
        <w:t xml:space="preserve">with clients, suppliers, agents and counterparties must include anti-bribery clauses, which may not be removed without approval of the Founder &amp; Principal.</w:t>
      </w:r>
    </w:p>
    <w:p>
      <w:pPr>
        <w:numPr>
          <w:ilvl w:val="0"/>
          <w:numId w:val="1003"/>
        </w:numPr>
        <w:pStyle w:val="Compact"/>
      </w:pPr>
      <w:r>
        <w:rPr>
          <w:bCs/>
          <w:b/>
        </w:rPr>
        <w:t xml:space="preserve">Training.</w:t>
      </w:r>
      <w:r>
        <w:t xml:space="preserve"> </w:t>
      </w:r>
      <w:r>
        <w:t xml:space="preserve">All Personnel complete anti-bribery training on joining and annually; Personnel in commodity trade also train on dealing with port, customs and free-zone officials.</w:t>
      </w:r>
    </w:p>
    <w:p>
      <w:pPr>
        <w:numPr>
          <w:ilvl w:val="0"/>
          <w:numId w:val="1003"/>
        </w:numPr>
        <w:pStyle w:val="Compact"/>
      </w:pPr>
      <w:r>
        <w:rPr>
          <w:bCs/>
          <w:b/>
        </w:rPr>
        <w:t xml:space="preserve">Monitoring.</w:t>
      </w:r>
      <w:r>
        <w:t xml:space="preserve"> </w:t>
      </w:r>
      <w:r>
        <w:t xml:space="preserve">The Founder &amp; Principal reviews commission payments, expense claims and the gifts register quarterly, using ISO 37001 as a reference framework.</w:t>
      </w:r>
    </w:p>
    <w:bookmarkEnd w:id="24"/>
    <w:bookmarkStart w:id="25" w:name="reporting-breaches-and-consequences"/>
    <w:p>
      <w:pPr>
        <w:pStyle w:val="Heading2"/>
      </w:pPr>
      <w:r>
        <w:t xml:space="preserve">Reporting, breaches and consequences</w:t>
      </w:r>
    </w:p>
    <w:p>
      <w:pPr>
        <w:pStyle w:val="FirstParagraph"/>
      </w:pPr>
      <w:r>
        <w:t xml:space="preserve">Any request for, or offer of, a bribe must be reported within 24 hours to the Founder &amp; Principal, through arildo@settigroup.com (anonymous reports accepted) or by post to the registered address of either entity. Where the Founder &amp; Principal is implicated, the Speak-Up and Non-Retaliation Policy provides for an independent external reviewer.</w:t>
      </w:r>
    </w:p>
    <w:p>
      <w:pPr>
        <w:pStyle w:val="BodyText"/>
      </w:pPr>
      <w:r>
        <w:t xml:space="preserve">Bribery is a criminal offence for individuals and for the Group. Breach leads to disciplinary action up to dismissal or termination of contract, recovery of any benefit, and referral to the authorities. Agents and counterparties who breach this policy have their contracts terminated and commissions forfeited.</w:t>
      </w:r>
    </w:p>
    <w:bookmarkEnd w:id="25"/>
    <w:bookmarkStart w:id="26" w:name="related-policies-and-references"/>
    <w:p>
      <w:pPr>
        <w:pStyle w:val="Heading2"/>
      </w:pPr>
      <w:r>
        <w:t xml:space="preserve">Related policies and references</w:t>
      </w:r>
    </w:p>
    <w:p>
      <w:pPr>
        <w:numPr>
          <w:ilvl w:val="0"/>
          <w:numId w:val="1004"/>
        </w:numPr>
        <w:pStyle w:val="Compact"/>
      </w:pPr>
      <w:r>
        <w:t xml:space="preserve">Code of Conduct and Business Ethics</w:t>
      </w:r>
    </w:p>
    <w:p>
      <w:pPr>
        <w:numPr>
          <w:ilvl w:val="0"/>
          <w:numId w:val="1004"/>
        </w:numPr>
        <w:pStyle w:val="Compact"/>
      </w:pPr>
      <w:r>
        <w:t xml:space="preserve">Conflicts of Interest, Gifts and Hospitality Policy</w:t>
      </w:r>
    </w:p>
    <w:p>
      <w:pPr>
        <w:numPr>
          <w:ilvl w:val="0"/>
          <w:numId w:val="1004"/>
        </w:numPr>
        <w:pStyle w:val="Compact"/>
      </w:pPr>
      <w:r>
        <w:t xml:space="preserve">Speak-Up and Non-Retaliation Policy</w:t>
      </w:r>
    </w:p>
    <w:p>
      <w:pPr>
        <w:numPr>
          <w:ilvl w:val="0"/>
          <w:numId w:val="1004"/>
        </w:numPr>
        <w:pStyle w:val="Compact"/>
      </w:pPr>
      <w:r>
        <w:t xml:space="preserve">Sanctions, Export Control and Trade Compliance Policy</w:t>
      </w:r>
    </w:p>
    <w:p>
      <w:pPr>
        <w:numPr>
          <w:ilvl w:val="0"/>
          <w:numId w:val="1004"/>
        </w:numPr>
        <w:pStyle w:val="Compact"/>
      </w:pPr>
      <w:r>
        <w:t xml:space="preserve">Third-Party Due Diligence and KYC Policy</w:t>
      </w:r>
    </w:p>
    <w:p>
      <w:pPr>
        <w:numPr>
          <w:ilvl w:val="0"/>
          <w:numId w:val="1004"/>
        </w:numPr>
        <w:pStyle w:val="Compact"/>
      </w:pPr>
      <w:r>
        <w:t xml:space="preserve">UAE Federal Decree-Law No. 31/2021 (bribery provisions); Brazil Lei 12.846/2013 and Decreto 11.129/2022</w:t>
      </w:r>
    </w:p>
    <w:p>
      <w:pPr>
        <w:numPr>
          <w:ilvl w:val="0"/>
          <w:numId w:val="1004"/>
        </w:numPr>
        <w:pStyle w:val="Compact"/>
      </w:pPr>
      <w:r>
        <w:t xml:space="preserve">UK Bribery Act 2010; US FCPA; OECD Anti-Bribery Convention; ISO 37001 (reference framework only; not certified)</w:t>
      </w:r>
    </w:p>
    <w:bookmarkEnd w:id="26"/>
    <w:bookmarkStart w:id="27" w:name="review-and-approval"/>
    <w:p>
      <w:pPr>
        <w:pStyle w:val="Heading2"/>
      </w:pPr>
      <w:r>
        <w:t xml:space="preserve">Review and approval</w:t>
      </w:r>
    </w:p>
    <w:p>
      <w:pPr>
        <w:pStyle w:val="FirstParagraph"/>
      </w:pPr>
      <w:r>
        <w:t xml:space="preserve">Version 1.0, effective 1 October 2026. Approved by the Founder &amp; Principal, Setti Group. Reviewed annually or on material change of law, and after any bribery incident.</w:t>
      </w:r>
    </w:p>
    <w:p>
      <w:pPr>
        <w:pStyle w:val="BlockText"/>
      </w:pPr>
      <w:r>
        <w:t xml:space="preserve">Draft prepared for legal review. Not effective until approved and signed.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Anti-Bribery and Anti-Corruption Policy</dc:title>
  <dc:creator/>
  <dc:language>en</dc:language>
  <cp:keywords/>
  <dcterms:created xsi:type="dcterms:W3CDTF">2026-09-28T13:23:10Z</dcterms:created>
  <dcterms:modified xsi:type="dcterms:W3CDTF">2026-09-28T13:23:10Z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public</vt:lpwstr>
  </property>
  <property fmtid="{D5CDD505-2E9C-101B-9397-08002B2CF9AE}" pid="3" name="effective">
    <vt:lpwstr>2026-10-01</vt:lpwstr>
  </property>
  <property fmtid="{D5CDD505-2E9C-101B-9397-08002B2CF9AE}" pid="4" name="id">
    <vt:lpwstr>anti-bribery</vt:lpwstr>
  </property>
  <property fmtid="{D5CDD505-2E9C-101B-9397-08002B2CF9AE}" pid="5" name="owner">
    <vt:lpwstr>Founder &amp; Principal, Setti Group</vt:lpwstr>
  </property>
  <property fmtid="{D5CDD505-2E9C-101B-9397-08002B2CF9AE}" pid="6" name="summary">
    <vt:lpwstr>Prohibits bribery, facilitation payments and corrupt dealings with public officials and private parties in all Setti Group activities, including commodity trade intermediation.</vt:lpwstr>
  </property>
  <property fmtid="{D5CDD505-2E9C-101B-9397-08002B2CF9AE}" pid="7" name="version">
    <vt:lpwstr>1.0</vt:lpwstr>
  </property>
</Properties>
</file>