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Código de Conduta e Ética Empresarial</w:t>
      </w:r>
    </w:p>
    <w:bookmarkStart w:id="20" w:name="finalidade-e-abrangência"/>
    <w:p>
      <w:pPr>
        <w:pStyle w:val="Heading2"/>
      </w:pPr>
      <w:r>
        <w:t xml:space="preserve">Finalidade e abrangência</w:t>
      </w:r>
    </w:p>
    <w:p>
      <w:pPr>
        <w:pStyle w:val="FirstParagraph"/>
      </w:pPr>
      <w:r>
        <w:t xml:space="preserve">Este Código de Conduta e Ética Empresarial (</w:t>
      </w:r>
      <w:r>
        <w:t xml:space="preserve">“</w:t>
      </w:r>
      <w:r>
        <w:t xml:space="preserve">o Código</w:t>
      </w:r>
      <w:r>
        <w:t xml:space="preserve">”</w:t>
      </w:r>
      <w:r>
        <w:t xml:space="preserve">) define como a Setti Group faz negócios. Aplica-se à</w:t>
      </w:r>
      <w:r>
        <w:t xml:space="preserve"> </w:t>
      </w:r>
      <w:r>
        <w:rPr>
          <w:bCs/>
          <w:b/>
        </w:rPr>
        <w:t xml:space="preserve">Setti Group FZC</w:t>
      </w:r>
      <w:r>
        <w:t xml:space="preserve"> </w:t>
      </w:r>
      <w:r>
        <w:t xml:space="preserve">(Sharjah Publishing City Free Zone, Emirados Árabes Unidos) e à</w:t>
      </w:r>
      <w:r>
        <w:t xml:space="preserve"> </w:t>
      </w:r>
      <w:r>
        <w:rPr>
          <w:bCs/>
          <w:b/>
        </w:rPr>
        <w:t xml:space="preserve">Setti Group Ltda</w:t>
      </w:r>
      <w:r>
        <w:t xml:space="preserve"> </w:t>
      </w:r>
      <w:r>
        <w:t xml:space="preserve">(CNPJ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O Código vincula todos os Colaboradores e, por contrato, agentes, intermediários e fornecedores que atuem em nome do Grupo. Abrange as três linhas de atividade: consultoria e treinamento em HSSE (incluindo IOSH Managing Safely), as plataformas de software Arcas GRC e SetFit, e a intermediação de commodities físicas com a BS Agrícola Ltda (Londrina, PR). Quando a lei local e este Código divergirem, aplica-se a regra mais rigorosa.</w:t>
      </w:r>
    </w:p>
    <w:bookmarkEnd w:id="20"/>
    <w:bookmarkStart w:id="21" w:name="declaração-de-política"/>
    <w:p>
      <w:pPr>
        <w:pStyle w:val="Heading2"/>
      </w:pPr>
      <w:r>
        <w:t xml:space="preserve">Declaração de política</w:t>
      </w:r>
    </w:p>
    <w:p>
      <w:pPr>
        <w:pStyle w:val="FirstParagraph"/>
      </w:pPr>
      <w:r>
        <w:t xml:space="preserve">A Setti Group conquista a confiança dos clientes fazendo o que diz, dizendo a verdade, mantendo as pessoas seguras e cumprindo a lei onde quer que atue. Não pagamos propina, não toleramos assédio nem discriminação, protegemos os dados pessoais que nos são confiados e abrimos mão de negócios que não possam ser conquistados de forma honesta. O Fundador e Diretor responde pessoalmente por este Código e espera que todos os abrangidos por ele levantem preocupações cedo.</w:t>
      </w:r>
    </w:p>
    <w:bookmarkEnd w:id="21"/>
    <w:bookmarkStart w:id="22" w:name="definições"/>
    <w:p>
      <w:pPr>
        <w:pStyle w:val="Heading2"/>
      </w:pPr>
      <w:r>
        <w:t xml:space="preserve">Definições</w:t>
      </w:r>
    </w:p>
    <w:p>
      <w:pPr>
        <w:numPr>
          <w:ilvl w:val="0"/>
          <w:numId w:val="1001"/>
        </w:numPr>
        <w:pStyle w:val="Compact"/>
      </w:pPr>
      <w:r>
        <w:rPr>
          <w:bCs/>
          <w:b/>
        </w:rPr>
        <w:t xml:space="preserve">Colaboradores</w:t>
      </w:r>
      <w:r>
        <w:t xml:space="preserve">: o Fundador e Diretor, empregados, contratados, instrutores associados e estagiários de qualquer das entidades.</w:t>
      </w:r>
    </w:p>
    <w:p>
      <w:pPr>
        <w:numPr>
          <w:ilvl w:val="0"/>
          <w:numId w:val="1001"/>
        </w:numPr>
        <w:pStyle w:val="Compact"/>
      </w:pPr>
      <w:r>
        <w:rPr>
          <w:bCs/>
          <w:b/>
        </w:rPr>
        <w:t xml:space="preserve">Parceiro de negócios</w:t>
      </w:r>
      <w:r>
        <w:t xml:space="preserve">: qualquer cliente, fornecedor, agente, intermediário ou contraparte.</w:t>
      </w:r>
    </w:p>
    <w:p>
      <w:pPr>
        <w:numPr>
          <w:ilvl w:val="0"/>
          <w:numId w:val="1001"/>
        </w:numPr>
        <w:pStyle w:val="Compact"/>
      </w:pPr>
      <w:r>
        <w:rPr>
          <w:bCs/>
          <w:b/>
        </w:rPr>
        <w:t xml:space="preserve">Agente público</w:t>
      </w:r>
      <w:r>
        <w:t xml:space="preserve">: qualquer pessoa que ocupe cargo público ou seja empregada por governo, entidade estatal, autoridade de zona franca, portuária ou aduaneira, ou organização internacional pública.</w:t>
      </w:r>
    </w:p>
    <w:p>
      <w:pPr>
        <w:numPr>
          <w:ilvl w:val="0"/>
          <w:numId w:val="1001"/>
        </w:numPr>
        <w:pStyle w:val="Compact"/>
      </w:pPr>
      <w:r>
        <w:rPr>
          <w:bCs/>
          <w:b/>
        </w:rPr>
        <w:t xml:space="preserve">Conflito de interesses</w:t>
      </w:r>
      <w:r>
        <w:t xml:space="preserve">: interesse pessoal, familiar ou financeiro capaz de influenciar, ou parecer influenciar, uma decisão do Grupo.</w:t>
      </w:r>
    </w:p>
    <w:p>
      <w:pPr>
        <w:numPr>
          <w:ilvl w:val="0"/>
          <w:numId w:val="1001"/>
        </w:numPr>
        <w:pStyle w:val="Compact"/>
      </w:pPr>
      <w:r>
        <w:rPr>
          <w:bCs/>
          <w:b/>
        </w:rPr>
        <w:t xml:space="preserve">Dados pessoais</w:t>
      </w:r>
      <w:r>
        <w:t xml:space="preserve">: informações relativas a pessoa identificada ou identificável, incluindo os dados de saúde e condicionamento físico tratados pelo aplicativo SetFit.</w:t>
      </w:r>
    </w:p>
    <w:bookmarkEnd w:id="22"/>
    <w:bookmarkStart w:id="23" w:name="responsabilidades"/>
    <w:p>
      <w:pPr>
        <w:pStyle w:val="Heading2"/>
      </w:pPr>
      <w:r>
        <w:t xml:space="preserve">Responsabilidades</w:t>
      </w:r>
    </w:p>
    <w:p>
      <w:pPr>
        <w:numPr>
          <w:ilvl w:val="0"/>
          <w:numId w:val="1002"/>
        </w:numPr>
        <w:pStyle w:val="Compact"/>
      </w:pPr>
      <w:r>
        <w:t xml:space="preserve">O</w:t>
      </w:r>
      <w:r>
        <w:t xml:space="preserve"> </w:t>
      </w:r>
      <w:r>
        <w:rPr>
          <w:bCs/>
          <w:b/>
        </w:rPr>
        <w:t xml:space="preserve">Fundador e Diretor</w:t>
      </w:r>
      <w:r>
        <w:t xml:space="preserve"> </w:t>
      </w:r>
      <w:r>
        <w:t xml:space="preserve">é o responsável por este Código, aprova exceções por escrito, decide as consequências disciplinares e o revisa anualmente.</w:t>
      </w:r>
    </w:p>
    <w:p>
      <w:pPr>
        <w:numPr>
          <w:ilvl w:val="0"/>
          <w:numId w:val="1002"/>
        </w:numPr>
        <w:pStyle w:val="Compact"/>
      </w:pPr>
      <w:r>
        <w:t xml:space="preserve">Os</w:t>
      </w:r>
      <w:r>
        <w:t xml:space="preserve"> </w:t>
      </w:r>
      <w:r>
        <w:rPr>
          <w:bCs/>
          <w:b/>
        </w:rPr>
        <w:t xml:space="preserve">Colaboradores</w:t>
      </w:r>
      <w:r>
        <w:t xml:space="preserve"> </w:t>
      </w:r>
      <w:r>
        <w:t xml:space="preserve">devem ler o Código ao ingressar e após cada revisão, agir de acordo com ele, concluir o treinamento de compliance e reportar suspeitas de violação.</w:t>
      </w:r>
    </w:p>
    <w:p>
      <w:pPr>
        <w:numPr>
          <w:ilvl w:val="0"/>
          <w:numId w:val="1002"/>
        </w:numPr>
        <w:pStyle w:val="Compact"/>
      </w:pPr>
      <w:r>
        <w:t xml:space="preserve">Os</w:t>
      </w:r>
      <w:r>
        <w:t xml:space="preserve"> </w:t>
      </w:r>
      <w:r>
        <w:rPr>
          <w:bCs/>
          <w:b/>
        </w:rPr>
        <w:t xml:space="preserve">Parceiros de negócios</w:t>
      </w:r>
      <w:r>
        <w:t xml:space="preserve"> </w:t>
      </w:r>
      <w:r>
        <w:t xml:space="preserve">que atuem em nome do Grupo devem aceitar o Código, ou padrões equivalentes, como condição da contratação.</w:t>
      </w:r>
    </w:p>
    <w:p>
      <w:pPr>
        <w:numPr>
          <w:ilvl w:val="0"/>
          <w:numId w:val="1002"/>
        </w:numPr>
        <w:pStyle w:val="Compact"/>
      </w:pPr>
      <w:r>
        <w:t xml:space="preserve">O</w:t>
      </w:r>
      <w:r>
        <w:t xml:space="preserve"> </w:t>
      </w:r>
      <w:r>
        <w:rPr>
          <w:bCs/>
          <w:b/>
        </w:rPr>
        <w:t xml:space="preserve">contato de compliance</w:t>
      </w:r>
      <w:r>
        <w:t xml:space="preserve"> </w:t>
      </w:r>
      <w:r>
        <w:t xml:space="preserve">(arildo@settigroup.com) responde a dúvidas sobre o Código.</w:t>
      </w:r>
    </w:p>
    <w:bookmarkEnd w:id="23"/>
    <w:bookmarkStart w:id="24" w:name="requisitos"/>
    <w:p>
      <w:pPr>
        <w:pStyle w:val="Heading2"/>
      </w:pPr>
      <w:r>
        <w:t xml:space="preserve">Requisitos</w:t>
      </w:r>
    </w:p>
    <w:p>
      <w:pPr>
        <w:numPr>
          <w:ilvl w:val="0"/>
          <w:numId w:val="1003"/>
        </w:numPr>
        <w:pStyle w:val="Compact"/>
      </w:pPr>
      <w:r>
        <w:rPr>
          <w:bCs/>
          <w:b/>
        </w:rPr>
        <w:t xml:space="preserve">Cumprir a lei.</w:t>
      </w:r>
      <w:r>
        <w:t xml:space="preserve"> </w:t>
      </w:r>
      <w:r>
        <w:t xml:space="preserve">Os Colaboradores devem observar toda a legislação aplicável, incluindo o Decreto-Lei Federal nº 31/2021 dos EAU (dispositivos sobre suborno), a Lei 12.846/2013 do Brasil (Lei Anticorrupção) e, quando pertinente, o UK Bribery Act 2010 e o FCPA dos EUA.</w:t>
      </w:r>
    </w:p>
    <w:p>
      <w:pPr>
        <w:numPr>
          <w:ilvl w:val="0"/>
          <w:numId w:val="1003"/>
        </w:numPr>
        <w:pStyle w:val="Compact"/>
      </w:pPr>
      <w:r>
        <w:rPr>
          <w:bCs/>
          <w:b/>
        </w:rPr>
        <w:t xml:space="preserve">Nenhum suborno ou corrupção.</w:t>
      </w:r>
      <w:r>
        <w:t xml:space="preserve"> </w:t>
      </w:r>
      <w:r>
        <w:t xml:space="preserve">Nenhum Colaborador ou Parceiro de negócios pode oferecer, prometer, dar, solicitar ou aceitar qualquer coisa de valor para obter ou manter negócios ou vantagem indevida. Pagamentos de facilitação são proibidos. Ver a Política Anticorrupção e Antissuborno.</w:t>
      </w:r>
    </w:p>
    <w:p>
      <w:pPr>
        <w:numPr>
          <w:ilvl w:val="0"/>
          <w:numId w:val="1003"/>
        </w:numPr>
        <w:pStyle w:val="Compact"/>
      </w:pPr>
      <w:r>
        <w:rPr>
          <w:bCs/>
          <w:b/>
        </w:rPr>
        <w:t xml:space="preserve">Declarar conflitos de interesse.</w:t>
      </w:r>
      <w:r>
        <w:t xml:space="preserve"> </w:t>
      </w:r>
      <w:r>
        <w:t xml:space="preserve">Os Colaboradores devem declarar qualquer conflito por escrito ao Fundador e Diretor antes de agir, e seguir os limites e o registro de presentes da Política de Conflitos de Interesse, Presentes e Hospitalidade.</w:t>
      </w:r>
    </w:p>
    <w:p>
      <w:pPr>
        <w:numPr>
          <w:ilvl w:val="0"/>
          <w:numId w:val="1003"/>
        </w:numPr>
        <w:pStyle w:val="Compact"/>
      </w:pPr>
      <w:r>
        <w:rPr>
          <w:bCs/>
          <w:b/>
        </w:rPr>
        <w:t xml:space="preserve">Livros e registros exatos.</w:t>
      </w:r>
      <w:r>
        <w:t xml:space="preserve"> </w:t>
      </w:r>
      <w:r>
        <w:t xml:space="preserve">Todo pagamento, fatura, reembolso de despesas, comissão e indicação de preço deve ser registrado com exatidão e prontidão, com documentos de suporte. Não são admitidas contas paralelas nem lançamentos falsos.</w:t>
      </w:r>
    </w:p>
    <w:p>
      <w:pPr>
        <w:numPr>
          <w:ilvl w:val="0"/>
          <w:numId w:val="1003"/>
        </w:numPr>
        <w:pStyle w:val="Compact"/>
      </w:pPr>
      <w:r>
        <w:rPr>
          <w:bCs/>
          <w:b/>
        </w:rPr>
        <w:t xml:space="preserve">Negociação justa e honesta.</w:t>
      </w:r>
      <w:r>
        <w:t xml:space="preserve"> </w:t>
      </w:r>
      <w:r>
        <w:t xml:space="preserve">Os Colaboradores não podem deturpar os serviços, qualificações ou certificações do Grupo. A Setti Group usa normas ISO como referência e jamais deve se apresentar como certificada nelas.</w:t>
      </w:r>
    </w:p>
    <w:p>
      <w:pPr>
        <w:numPr>
          <w:ilvl w:val="0"/>
          <w:numId w:val="1003"/>
        </w:numPr>
        <w:pStyle w:val="Compact"/>
      </w:pPr>
      <w:r>
        <w:rPr>
          <w:bCs/>
          <w:b/>
        </w:rPr>
        <w:t xml:space="preserve">Respeito e tratamento igualitário.</w:t>
      </w:r>
      <w:r>
        <w:t xml:space="preserve"> </w:t>
      </w:r>
      <w:r>
        <w:t xml:space="preserve">O Grupo não tolera assédio, intimidação ou discriminação por qualquer motivo. Decisões de emprego baseiam-se no mérito e observam as convenções fundamentais da OIT e a legislação trabalhista local.</w:t>
      </w:r>
    </w:p>
    <w:p>
      <w:pPr>
        <w:numPr>
          <w:ilvl w:val="0"/>
          <w:numId w:val="1003"/>
        </w:numPr>
        <w:pStyle w:val="Compact"/>
      </w:pPr>
      <w:r>
        <w:rPr>
          <w:bCs/>
          <w:b/>
        </w:rPr>
        <w:t xml:space="preserve">Saúde, segurança e meio ambiente.</w:t>
      </w:r>
      <w:r>
        <w:t xml:space="preserve"> </w:t>
      </w:r>
      <w:r>
        <w:t xml:space="preserve">Como consultoria de HSSE, o Grupo pratica o que ensina. Os Colaboradores devem seguir as regras de local e os sistemas de permissão de trabalho nos sites dos clientes, cumprir as NR-1 e NR-7 no Brasil quando aplicáveis, interromper trabalho inseguro e reportar incidentes em até 24 horas.</w:t>
      </w:r>
    </w:p>
    <w:p>
      <w:pPr>
        <w:numPr>
          <w:ilvl w:val="0"/>
          <w:numId w:val="1003"/>
        </w:numPr>
        <w:pStyle w:val="Compact"/>
      </w:pPr>
      <w:r>
        <w:rPr>
          <w:bCs/>
          <w:b/>
        </w:rPr>
        <w:t xml:space="preserve">Proteger dados pessoais.</w:t>
      </w:r>
      <w:r>
        <w:t xml:space="preserve"> </w:t>
      </w:r>
      <w:r>
        <w:t xml:space="preserve">Dados pessoais são tratados apenas para finalidade lícita sob a PDPL dos EAU, a LGPD do Brasil e, para usuários da UE, o GDPR. Os dados de saúde e composição corporal dos usuários do SetFit são sensíveis: só podem ser acessados por Colaboradores que deles necessitem, nunca exportados para dispositivos pessoais e nunca compartilhados com treinadores ou terceiros sem o consentimento explícito do usuário. Dúvidas: arildo@settigroup.com.</w:t>
      </w:r>
    </w:p>
    <w:p>
      <w:pPr>
        <w:numPr>
          <w:ilvl w:val="0"/>
          <w:numId w:val="1003"/>
        </w:numPr>
        <w:pStyle w:val="Compact"/>
      </w:pPr>
      <w:r>
        <w:rPr>
          <w:bCs/>
          <w:b/>
        </w:rPr>
        <w:t xml:space="preserve">Proteger informações confidenciais.</w:t>
      </w:r>
      <w:r>
        <w:t xml:space="preserve"> </w:t>
      </w:r>
      <w:r>
        <w:t xml:space="preserve">Relatórios de clientes, materiais de treinamento, código-fonte, preços de trade, dados de contrapartes e condições comerciais são confidenciais durante e após o contrato e só podem ser divulgados com autorização escrita, por sistemas aprovados pelo Grupo.</w:t>
      </w:r>
    </w:p>
    <w:p>
      <w:pPr>
        <w:numPr>
          <w:ilvl w:val="0"/>
          <w:numId w:val="1003"/>
        </w:numPr>
        <w:pStyle w:val="Compact"/>
      </w:pPr>
      <w:r>
        <w:rPr>
          <w:bCs/>
          <w:b/>
        </w:rPr>
        <w:t xml:space="preserve">Sanções e compliance comercial.</w:t>
      </w:r>
      <w:r>
        <w:t xml:space="preserve"> </w:t>
      </w:r>
      <w:r>
        <w:t xml:space="preserve">Nenhuma indicação, cotação ou contrato de commodities pode ser emitido para contraparte, navio ou porto não verificado conforme a Política de Sanções, Controle de Exportação e Compliance Comercial. Os Colaboradores jamais devem estruturar uma operação para burlar sanções, controles de exportação ou legislação antilavagem.</w:t>
      </w:r>
    </w:p>
    <w:p>
      <w:pPr>
        <w:numPr>
          <w:ilvl w:val="0"/>
          <w:numId w:val="1003"/>
        </w:numPr>
        <w:pStyle w:val="Compact"/>
      </w:pPr>
      <w:r>
        <w:rPr>
          <w:bCs/>
          <w:b/>
        </w:rPr>
        <w:t xml:space="preserve">Conhecer nossos terceiros.</w:t>
      </w:r>
      <w:r>
        <w:t xml:space="preserve"> </w:t>
      </w:r>
      <w:r>
        <w:t xml:space="preserve">Agentes, intermediários e contrapartes devem passar pela due diligence da Política de Due Diligence de Terceiros e KYC antes de qualquer compromisso em nome do Grupo.</w:t>
      </w:r>
    </w:p>
    <w:p>
      <w:pPr>
        <w:numPr>
          <w:ilvl w:val="0"/>
          <w:numId w:val="1003"/>
        </w:numPr>
        <w:pStyle w:val="Compact"/>
      </w:pPr>
      <w:r>
        <w:rPr>
          <w:bCs/>
          <w:b/>
        </w:rPr>
        <w:t xml:space="preserve">Ativos e sistemas do Grupo.</w:t>
      </w:r>
      <w:r>
        <w:t xml:space="preserve"> </w:t>
      </w:r>
      <w:r>
        <w:t xml:space="preserve">Notebooks, contas, licenças e dados de clientes destinam-se aos negócios do Grupo. O uso pessoal deve ser mínimo e jamais comprometer a segurança. Senhas não podem ser compartilhadas.</w:t>
      </w:r>
    </w:p>
    <w:p>
      <w:pPr>
        <w:numPr>
          <w:ilvl w:val="0"/>
          <w:numId w:val="1003"/>
        </w:numPr>
        <w:pStyle w:val="Compact"/>
      </w:pPr>
      <w:r>
        <w:rPr>
          <w:bCs/>
          <w:b/>
        </w:rPr>
        <w:t xml:space="preserve">Direitos humanos.</w:t>
      </w:r>
      <w:r>
        <w:t xml:space="preserve"> </w:t>
      </w:r>
      <w:r>
        <w:t xml:space="preserve">O Grupo respeita os Princípios Orientadores da ONU sobre Empresas e Direitos Humanos. Os Colaboradores devem reportar qualquer indício de trabalho forçado, trabalho infantil ou condições inseguras na cadeia de suprimentos ou nos sites dos clientes.</w:t>
      </w:r>
    </w:p>
    <w:p>
      <w:pPr>
        <w:numPr>
          <w:ilvl w:val="0"/>
          <w:numId w:val="1003"/>
        </w:numPr>
        <w:pStyle w:val="Compact"/>
      </w:pPr>
      <w:r>
        <w:rPr>
          <w:bCs/>
          <w:b/>
        </w:rPr>
        <w:t xml:space="preserve">Comunicação pública.</w:t>
      </w:r>
      <w:r>
        <w:t xml:space="preserve"> </w:t>
      </w:r>
      <w:r>
        <w:t xml:space="preserve">Apenas o Fundador e Diretor, ou pessoas autorizadas por escrito, podem falar publicamente pelo Grupo. Os Colaboradores não devem publicar informações confidenciais, identidades de clientes ou detalhes de operações em redes sociais.</w:t>
      </w:r>
    </w:p>
    <w:p>
      <w:pPr>
        <w:numPr>
          <w:ilvl w:val="0"/>
          <w:numId w:val="1003"/>
        </w:numPr>
        <w:pStyle w:val="Compact"/>
      </w:pPr>
      <w:r>
        <w:rPr>
          <w:bCs/>
          <w:b/>
        </w:rPr>
        <w:t xml:space="preserve">Contribuições políticas e beneficentes.</w:t>
      </w:r>
      <w:r>
        <w:t xml:space="preserve"> </w:t>
      </w:r>
      <w:r>
        <w:t xml:space="preserve">O Grupo não faz contribuições políticas. Doações beneficentes exigem aprovação prévia e escrita do Fundador e Diretor e jamais podem estar vinculadas a negócios.</w:t>
      </w:r>
    </w:p>
    <w:p>
      <w:pPr>
        <w:numPr>
          <w:ilvl w:val="0"/>
          <w:numId w:val="1003"/>
        </w:numPr>
        <w:pStyle w:val="Compact"/>
      </w:pPr>
      <w:r>
        <w:rPr>
          <w:bCs/>
          <w:b/>
        </w:rPr>
        <w:t xml:space="preserve">Falar.</w:t>
      </w:r>
      <w:r>
        <w:t xml:space="preserve"> </w:t>
      </w:r>
      <w:r>
        <w:t xml:space="preserve">Os Colaboradores devem reportar suspeitas de violação pelos canais da Política de Canal de Denúncias e Não Retaliação. Retaliar quem reporta de boa-fé é, por si só, violação deste Código.</w:t>
      </w:r>
    </w:p>
    <w:bookmarkEnd w:id="24"/>
    <w:bookmarkStart w:id="25" w:name="comunicação-violações-e-consequências"/>
    <w:p>
      <w:pPr>
        <w:pStyle w:val="Heading2"/>
      </w:pPr>
      <w:r>
        <w:t xml:space="preserve">Comunicação, violações e consequências</w:t>
      </w:r>
    </w:p>
    <w:p>
      <w:pPr>
        <w:pStyle w:val="FirstParagraph"/>
      </w:pPr>
      <w:r>
        <w:t xml:space="preserve">Preocupações podem ser levadas ao Fundador e Diretor, a arildo@settigroup.com (denúncias anônimas são aceitas) ou por correio ao endereço registrado de qualquer das entidades. Os relatos são confirmados em até cinco dias úteis.</w:t>
      </w:r>
    </w:p>
    <w:p>
      <w:pPr>
        <w:pStyle w:val="BodyText"/>
      </w:pPr>
      <w:r>
        <w:t xml:space="preserve">Conforme a gravidade, as consequências de uma violação incluem advertência escrita, afastamento do projeto, rescisão do contrato de trabalho ou de prestação de serviços nos termos da legislação trabalhista aplicável, recuperação de perdas e comunicação às autoridades. Parceiros de negócios que violem o Código podem ter seus contratos rescindidos sem indenização.</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Política Anticorrupção e Antissuborno</w:t>
      </w:r>
    </w:p>
    <w:p>
      <w:pPr>
        <w:numPr>
          <w:ilvl w:val="0"/>
          <w:numId w:val="1004"/>
        </w:numPr>
        <w:pStyle w:val="Compact"/>
      </w:pPr>
      <w:r>
        <w:t xml:space="preserve">Política de Conflitos de Interesse, Presentes e Hospitalidade</w:t>
      </w:r>
    </w:p>
    <w:p>
      <w:pPr>
        <w:numPr>
          <w:ilvl w:val="0"/>
          <w:numId w:val="1004"/>
        </w:numPr>
        <w:pStyle w:val="Compact"/>
      </w:pPr>
      <w:r>
        <w:t xml:space="preserve">Política de Canal de Denúncias e Não Retaliação</w:t>
      </w:r>
    </w:p>
    <w:p>
      <w:pPr>
        <w:numPr>
          <w:ilvl w:val="0"/>
          <w:numId w:val="1004"/>
        </w:numPr>
        <w:pStyle w:val="Compact"/>
      </w:pPr>
      <w:r>
        <w:t xml:space="preserve">Política de Sanções, Controle de Exportação e Compliance Comercial</w:t>
      </w:r>
    </w:p>
    <w:p>
      <w:pPr>
        <w:numPr>
          <w:ilvl w:val="0"/>
          <w:numId w:val="1004"/>
        </w:numPr>
        <w:pStyle w:val="Compact"/>
      </w:pPr>
      <w:r>
        <w:t xml:space="preserve">Política de Due Diligence de Terceiros e KYC</w:t>
      </w:r>
    </w:p>
    <w:p>
      <w:pPr>
        <w:numPr>
          <w:ilvl w:val="0"/>
          <w:numId w:val="1004"/>
        </w:numPr>
        <w:pStyle w:val="Compact"/>
      </w:pPr>
      <w:r>
        <w:t xml:space="preserve">EAU: Decretos-Leis Federais nº 31/2021, 45/2021 (PDPL), 33/2021 (Lei Trabalhista), 10/2019 (PLD/FT)</w:t>
      </w:r>
    </w:p>
    <w:p>
      <w:pPr>
        <w:numPr>
          <w:ilvl w:val="0"/>
          <w:numId w:val="1004"/>
        </w:numPr>
        <w:pStyle w:val="Compact"/>
      </w:pPr>
      <w:r>
        <w:t xml:space="preserve">Brasil: Lei 12.846/2013 e Decreto 11.129/2022; Lei 13.709/2018 (LGPD); CLT; Lei 9.613/1998; NR-1 e NR-7</w:t>
      </w:r>
    </w:p>
    <w:p>
      <w:pPr>
        <w:numPr>
          <w:ilvl w:val="0"/>
          <w:numId w:val="1004"/>
        </w:numPr>
        <w:pStyle w:val="Compact"/>
      </w:pPr>
      <w:r>
        <w:t xml:space="preserve">UK Bribery Act 2010; FCPA (EUA); GDPR (UE); Convenção Antissuborno da OCDE; Princípios Orientadores da ONU sobre Empresas e Direitos Humanos; convenções fundamentais da OIT</w:t>
      </w:r>
    </w:p>
    <w:p>
      <w:pPr>
        <w:numPr>
          <w:ilvl w:val="0"/>
          <w:numId w:val="1004"/>
        </w:numPr>
        <w:pStyle w:val="Compact"/>
      </w:pPr>
      <w:r>
        <w:t xml:space="preserve">ISO 45001, 14001, 9001, IEC 27001, 37001 (apenas como referência; a Setti Group não é certificada)</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Aprovado pelo Fundador e Diretor, Setti Group. Revisado anualmente ou em caso de alteração relevante da lei, e sempre que o Grupo iniciar uma nova linha de negócios.</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 Conduta e Ética Empresarial</dc:title>
  <dc:creator/>
  <dc:language>pt-BR</dc:language>
  <cp:keywords/>
  <dcterms:created xsi:type="dcterms:W3CDTF">2026-09-28T13:23:10Z</dcterms:created>
  <dcterms:modified xsi:type="dcterms:W3CDTF">2026-09-28T13:23:10Z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code-of-conduct</vt:lpwstr>
  </property>
  <property fmtid="{D5CDD505-2E9C-101B-9397-08002B2CF9AE}" pid="5" name="owner">
    <vt:lpwstr>Fundador e Diretor, Setti Group</vt:lpwstr>
  </property>
  <property fmtid="{D5CDD505-2E9C-101B-9397-08002B2CF9AE}" pid="6" name="summary">
    <vt:lpwstr>Estabelece os padrões de honestidade, respeito, segurança e conformidade legal que todos os que trabalham para a Setti Group ou com ela devem seguir.</vt:lpwstr>
  </property>
  <property fmtid="{D5CDD505-2E9C-101B-9397-08002B2CF9AE}" pid="7" name="version">
    <vt:lpwstr>1.0</vt:lpwstr>
  </property>
</Properties>
</file>