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Conflicts of Interest, Gifts and Hospitality Policy</w:t>
      </w:r>
    </w:p>
    <w:bookmarkStart w:id="20" w:name="purpose-and-scope"/>
    <w:p>
      <w:pPr>
        <w:pStyle w:val="Heading2"/>
      </w:pPr>
      <w:r>
        <w:t xml:space="preserve">Purpose and scope</w:t>
      </w:r>
    </w:p>
    <w:p>
      <w:pPr>
        <w:pStyle w:val="FirstParagraph"/>
      </w:pPr>
      <w:r>
        <w:t xml:space="preserve">This policy explains how Setti Group manages conflicts of interest and controls gifts, hospitality, travel and entertainment given or received in the course of business. It applies to</w:t>
      </w:r>
      <w:r>
        <w:t xml:space="preserve"> </w:t>
      </w:r>
      <w:r>
        <w:rPr>
          <w:bCs/>
          <w:b/>
        </w:rPr>
        <w:t xml:space="preserve">Setti Group FZC</w:t>
      </w:r>
      <w:r>
        <w:t xml:space="preserve"> </w:t>
      </w:r>
      <w:r>
        <w:t xml:space="preserve">(Sharjah Publishing City Free Zone, UAE) and</w:t>
      </w:r>
      <w:r>
        <w:t xml:space="preserve"> </w:t>
      </w:r>
      <w:r>
        <w:rPr>
          <w:bCs/>
          <w:b/>
        </w:rPr>
        <w:t xml:space="preserve">Setti Group Ltda</w:t>
      </w:r>
      <w:r>
        <w:t xml:space="preserve"> </w:t>
      </w:r>
      <w:r>
        <w:t xml:space="preserve">(CNPJ 69.086.322/0001-00, Fortaleza, Ceará, Brazil; trade name SetFit), together</w:t>
      </w:r>
      <w:r>
        <w:t xml:space="preserve"> </w:t>
      </w:r>
      <w:r>
        <w:t xml:space="preserve">“</w:t>
      </w:r>
      <w:r>
        <w:t xml:space="preserve">Setti Group</w:t>
      </w:r>
      <w:r>
        <w:t xml:space="preserve">”</w:t>
      </w:r>
      <w:r>
        <w:t xml:space="preserve"> </w:t>
      </w:r>
      <w:r>
        <w:t xml:space="preserve">or</w:t>
      </w:r>
      <w:r>
        <w:t xml:space="preserve"> </w:t>
      </w:r>
      <w:r>
        <w:t xml:space="preserve">“</w:t>
      </w:r>
      <w:r>
        <w:t xml:space="preserve">the Group</w:t>
      </w:r>
      <w:r>
        <w:t xml:space="preserve">”</w:t>
      </w:r>
      <w:r>
        <w:t xml:space="preserve">, to all Personnel, and to agents and intermediaries acting for the Group.</w:t>
      </w:r>
    </w:p>
    <w:p>
      <w:pPr>
        <w:pStyle w:val="BodyText"/>
      </w:pPr>
      <w:r>
        <w:t xml:space="preserve">The Group is small and its Founder &amp; Principal is personally involved in most client, trainer, software and trading relationships, including the family-linked trading partner BS Agrícola Ltda. That closeness makes clear declaration and recording rules more important.</w:t>
      </w:r>
    </w:p>
    <w:bookmarkEnd w:id="20"/>
    <w:bookmarkStart w:id="21" w:name="policy-statement"/>
    <w:p>
      <w:pPr>
        <w:pStyle w:val="Heading2"/>
      </w:pPr>
      <w:r>
        <w:t xml:space="preserve">Policy statement</w:t>
      </w:r>
    </w:p>
    <w:p>
      <w:pPr>
        <w:pStyle w:val="FirstParagraph"/>
      </w:pPr>
      <w:r>
        <w:t xml:space="preserve">Decisions taken for Setti Group must serve the Group and its clients, not the personal interest of the person deciding. Personnel must avoid conflicts where possible, declare them in writing where they cannot be avoided, and step back from the decision where the Founder &amp; Principal so requires. Gifts and hospitality may be a normal courtesy; they must never be, or appear to be, a way to influence a decision. Anything above the threshold in this policy requires prior approval and entry in the gifts register.</w:t>
      </w:r>
    </w:p>
    <w:bookmarkEnd w:id="21"/>
    <w:bookmarkStart w:id="22" w:name="definitions"/>
    <w:p>
      <w:pPr>
        <w:pStyle w:val="Heading2"/>
      </w:pPr>
      <w:r>
        <w:t xml:space="preserve">Definitions</w:t>
      </w:r>
    </w:p>
    <w:p>
      <w:pPr>
        <w:numPr>
          <w:ilvl w:val="0"/>
          <w:numId w:val="1001"/>
        </w:numPr>
        <w:pStyle w:val="Compact"/>
      </w:pPr>
      <w:r>
        <w:rPr>
          <w:bCs/>
          <w:b/>
        </w:rPr>
        <w:t xml:space="preserve">Conflict of interest</w:t>
      </w:r>
      <w:r>
        <w:t xml:space="preserve">: a personal, family, financial or other outside interest that could influence, or reasonably appear to influence, a person’s judgement on behalf of the Group; actual, potential or perceived.</w:t>
      </w:r>
    </w:p>
    <w:p>
      <w:pPr>
        <w:numPr>
          <w:ilvl w:val="0"/>
          <w:numId w:val="1001"/>
        </w:numPr>
        <w:pStyle w:val="Compact"/>
      </w:pPr>
      <w:r>
        <w:rPr>
          <w:bCs/>
          <w:b/>
        </w:rPr>
        <w:t xml:space="preserve">Family member</w:t>
      </w:r>
      <w:r>
        <w:t xml:space="preserve">: spouse or partner, parent, child, sibling, in-law, or anyone in the same household.</w:t>
      </w:r>
    </w:p>
    <w:p>
      <w:pPr>
        <w:numPr>
          <w:ilvl w:val="0"/>
          <w:numId w:val="1001"/>
        </w:numPr>
        <w:pStyle w:val="Compact"/>
      </w:pPr>
      <w:r>
        <w:rPr>
          <w:bCs/>
          <w:b/>
        </w:rPr>
        <w:t xml:space="preserve">Gift</w:t>
      </w:r>
      <w:r>
        <w:t xml:space="preserve">: anything of value given or received without payment, including goods, vouchers, non-public discounts, tickets and services.</w:t>
      </w:r>
    </w:p>
    <w:p>
      <w:pPr>
        <w:numPr>
          <w:ilvl w:val="0"/>
          <w:numId w:val="1001"/>
        </w:numPr>
        <w:pStyle w:val="Compact"/>
      </w:pPr>
      <w:r>
        <w:rPr>
          <w:bCs/>
          <w:b/>
        </w:rPr>
        <w:t xml:space="preserve">Hospitality</w:t>
      </w:r>
      <w:r>
        <w:t xml:space="preserve">: meals, drinks, accommodation, travel, entertainment or events provided by or to a business partner.</w:t>
      </w:r>
    </w:p>
    <w:p>
      <w:pPr>
        <w:numPr>
          <w:ilvl w:val="0"/>
          <w:numId w:val="1001"/>
        </w:numPr>
        <w:pStyle w:val="Compact"/>
      </w:pPr>
      <w:r>
        <w:rPr>
          <w:bCs/>
          <w:b/>
        </w:rPr>
        <w:t xml:space="preserve">Threshold</w:t>
      </w:r>
      <w:r>
        <w:t xml:space="preserve">: USD 100, or the BRL 500 equivalent, or the equivalent in any other currency, per occasion and per person.</w:t>
      </w:r>
    </w:p>
    <w:p>
      <w:pPr>
        <w:numPr>
          <w:ilvl w:val="0"/>
          <w:numId w:val="1001"/>
        </w:numPr>
        <w:pStyle w:val="Compact"/>
      </w:pPr>
      <w:r>
        <w:rPr>
          <w:bCs/>
          <w:b/>
        </w:rPr>
        <w:t xml:space="preserve">Gifts register</w:t>
      </w:r>
      <w:r>
        <w:t xml:space="preserve">: the record of gifts and hospitality kept by the Founder &amp; Principal.</w:t>
      </w:r>
    </w:p>
    <w:bookmarkEnd w:id="22"/>
    <w:bookmarkStart w:id="23" w:name="responsibilities"/>
    <w:p>
      <w:pPr>
        <w:pStyle w:val="Heading2"/>
      </w:pPr>
      <w:r>
        <w:t xml:space="preserve">Responsibilities</w:t>
      </w:r>
    </w:p>
    <w:p>
      <w:pPr>
        <w:numPr>
          <w:ilvl w:val="0"/>
          <w:numId w:val="1002"/>
        </w:numPr>
        <w:pStyle w:val="Compact"/>
      </w:pPr>
      <w:r>
        <w:t xml:space="preserve">The</w:t>
      </w:r>
      <w:r>
        <w:t xml:space="preserve"> </w:t>
      </w:r>
      <w:r>
        <w:rPr>
          <w:bCs/>
          <w:b/>
        </w:rPr>
        <w:t xml:space="preserve">Founder &amp; Principal</w:t>
      </w:r>
      <w:r>
        <w:t xml:space="preserve"> </w:t>
      </w:r>
      <w:r>
        <w:t xml:space="preserve">owns this policy, rules on conflict declarations, keeps the gifts register, approves or refuses gifts and hospitality above the threshold, and records his own conflicts and gifts in the same register. Where he is himself conflicted in a material decision, he records the conflict and obtains a written second opinion from an independent adviser.</w:t>
      </w:r>
    </w:p>
    <w:p>
      <w:pPr>
        <w:numPr>
          <w:ilvl w:val="0"/>
          <w:numId w:val="1002"/>
        </w:numPr>
        <w:pStyle w:val="Compact"/>
      </w:pPr>
      <w:r>
        <w:rPr>
          <w:bCs/>
          <w:b/>
        </w:rPr>
        <w:t xml:space="preserve">Personnel</w:t>
      </w:r>
      <w:r>
        <w:t xml:space="preserve"> </w:t>
      </w:r>
      <w:r>
        <w:t xml:space="preserve">must complete a conflict declaration on joining, update it when circumstances change and at least annually, and record gifts and hospitality as required here.</w:t>
      </w:r>
    </w:p>
    <w:p>
      <w:pPr>
        <w:numPr>
          <w:ilvl w:val="0"/>
          <w:numId w:val="1002"/>
        </w:numPr>
        <w:pStyle w:val="Compact"/>
      </w:pPr>
      <w:r>
        <w:rPr>
          <w:bCs/>
          <w:b/>
        </w:rPr>
        <w:t xml:space="preserve">Agents and intermediaries</w:t>
      </w:r>
      <w:r>
        <w:t xml:space="preserve"> </w:t>
      </w:r>
      <w:r>
        <w:t xml:space="preserve">must disclose any relationship with the Group’s clients, counterparties or public officials before engagement.</w:t>
      </w:r>
    </w:p>
    <w:bookmarkEnd w:id="23"/>
    <w:bookmarkStart w:id="24" w:name="requirements"/>
    <w:p>
      <w:pPr>
        <w:pStyle w:val="Heading2"/>
      </w:pPr>
      <w:r>
        <w:t xml:space="preserve">Requirements</w:t>
      </w:r>
    </w:p>
    <w:p>
      <w:pPr>
        <w:numPr>
          <w:ilvl w:val="0"/>
          <w:numId w:val="1003"/>
        </w:numPr>
        <w:pStyle w:val="Compact"/>
      </w:pPr>
      <w:r>
        <w:rPr>
          <w:bCs/>
          <w:b/>
        </w:rPr>
        <w:t xml:space="preserve">Declaration.</w:t>
      </w:r>
      <w:r>
        <w:t xml:space="preserve"> </w:t>
      </w:r>
      <w:r>
        <w:t xml:space="preserve">All Personnel must declare in writing to the Founder &amp; Principal, on joining and at least every 12 months, any outside employment, directorship, shareholding above 5 per cent, family relationship or financial interest relating to a client, supplier, counterparty, competitor or public body dealing with the Group. A new conflict must be declared within five business days.</w:t>
      </w:r>
    </w:p>
    <w:p>
      <w:pPr>
        <w:numPr>
          <w:ilvl w:val="0"/>
          <w:numId w:val="1003"/>
        </w:numPr>
        <w:pStyle w:val="Compact"/>
      </w:pPr>
      <w:r>
        <w:rPr>
          <w:bCs/>
          <w:b/>
        </w:rPr>
        <w:t xml:space="preserve">Typical conflicts</w:t>
      </w:r>
      <w:r>
        <w:t xml:space="preserve"> </w:t>
      </w:r>
      <w:r>
        <w:t xml:space="preserve">include: a family member employed by a client, a public authority or BS Agrícola Ltda; a personal financial interest in a commodity trade, vessel or counterparty; a trainer or SetFit user who is a relative; a personal relationship with a client’s decision-maker; outside HSSE consulting or training work.</w:t>
      </w:r>
    </w:p>
    <w:p>
      <w:pPr>
        <w:numPr>
          <w:ilvl w:val="0"/>
          <w:numId w:val="1003"/>
        </w:numPr>
        <w:pStyle w:val="Compact"/>
      </w:pPr>
      <w:r>
        <w:rPr>
          <w:bCs/>
          <w:b/>
        </w:rPr>
        <w:t xml:space="preserve">Management of conflicts.</w:t>
      </w:r>
      <w:r>
        <w:t xml:space="preserve"> </w:t>
      </w:r>
      <w:r>
        <w:t xml:space="preserve">The Founder &amp; Principal decides in writing whether the conflict is acceptable, acceptable with conditions (for example the person steps out of the decision, or a second person reviews the pricing), or not acceptable. The decision is recorded with the declaration.</w:t>
      </w:r>
    </w:p>
    <w:p>
      <w:pPr>
        <w:numPr>
          <w:ilvl w:val="0"/>
          <w:numId w:val="1003"/>
        </w:numPr>
        <w:pStyle w:val="Compact"/>
      </w:pPr>
      <w:r>
        <w:rPr>
          <w:bCs/>
          <w:b/>
        </w:rPr>
        <w:t xml:space="preserve">Related-party transactions.</w:t>
      </w:r>
      <w:r>
        <w:t xml:space="preserve"> </w:t>
      </w:r>
      <w:r>
        <w:t xml:space="preserve">Any transaction between the Group and a family member of Personnel, or an entity they control, including BS Agrícola Ltda, must be on documented arm’s-length terms, approved in writing by the Founder &amp; Principal, and identifiable in the accounts.</w:t>
      </w:r>
    </w:p>
    <w:p>
      <w:pPr>
        <w:numPr>
          <w:ilvl w:val="0"/>
          <w:numId w:val="1003"/>
        </w:numPr>
        <w:pStyle w:val="Compact"/>
      </w:pPr>
      <w:r>
        <w:rPr>
          <w:bCs/>
          <w:b/>
        </w:rPr>
        <w:t xml:space="preserve">Outside activities.</w:t>
      </w:r>
      <w:r>
        <w:t xml:space="preserve"> </w:t>
      </w:r>
      <w:r>
        <w:t xml:space="preserve">Personnel may not perform paid HSSE consulting, training or software work for the Group’s clients or competitors without prior written approval. Other outside work must not use Group time, equipment or confidential information.</w:t>
      </w:r>
    </w:p>
    <w:p>
      <w:pPr>
        <w:numPr>
          <w:ilvl w:val="0"/>
          <w:numId w:val="1003"/>
        </w:numPr>
        <w:pStyle w:val="Compact"/>
      </w:pPr>
      <w:r>
        <w:rPr>
          <w:bCs/>
          <w:b/>
        </w:rPr>
        <w:t xml:space="preserve">General limits.</w:t>
      </w:r>
      <w:r>
        <w:t xml:space="preserve"> </w:t>
      </w:r>
      <w:r>
        <w:t xml:space="preserve">Gifts and hospitality must be infrequent, modest, appropriate to the relationship, not requested, and never offered during a tender, negotiation, audit, inspection or trade indication where the recipient influences the outcome.</w:t>
      </w:r>
    </w:p>
    <w:p>
      <w:pPr>
        <w:numPr>
          <w:ilvl w:val="0"/>
          <w:numId w:val="1003"/>
        </w:numPr>
        <w:pStyle w:val="Compact"/>
      </w:pPr>
      <w:r>
        <w:rPr>
          <w:bCs/>
          <w:b/>
        </w:rPr>
        <w:t xml:space="preserve">Always prohibited:</w:t>
      </w:r>
      <w:r>
        <w:t xml:space="preserve"> </w:t>
      </w:r>
      <w:r>
        <w:t xml:space="preserve">cash or cash equivalents (gift cards, prepaid cards, crypto-assets, vouchers redeemable for cash), loans, adult entertainment, gifts to or from public officials without prior written approval, and anything offered in exchange for, or in expectation of, a business decision.</w:t>
      </w:r>
    </w:p>
    <w:p>
      <w:pPr>
        <w:numPr>
          <w:ilvl w:val="0"/>
          <w:numId w:val="1003"/>
        </w:numPr>
        <w:pStyle w:val="Compact"/>
      </w:pPr>
      <w:r>
        <w:rPr>
          <w:bCs/>
          <w:b/>
        </w:rPr>
        <w:t xml:space="preserve">Value threshold.</w:t>
      </w:r>
      <w:r>
        <w:t xml:space="preserve"> </w:t>
      </w:r>
      <w:r>
        <w:t xml:space="preserve">Gifts or hospitality below USD 100 (or BRL 500 equivalent) per person per occasion may be given or accepted without prior approval, provided items 6 and 7 are met. Anything at or above the threshold, and anything from one source exceeding USD 300 (or BRL 1,500 equivalent) in total in 12 months, requires prior written approval of the Founder &amp; Principal.</w:t>
      </w:r>
    </w:p>
    <w:p>
      <w:pPr>
        <w:numPr>
          <w:ilvl w:val="0"/>
          <w:numId w:val="1003"/>
        </w:numPr>
        <w:pStyle w:val="Compact"/>
      </w:pPr>
      <w:r>
        <w:rPr>
          <w:bCs/>
          <w:b/>
        </w:rPr>
        <w:t xml:space="preserve">Gifts register.</w:t>
      </w:r>
      <w:r>
        <w:t xml:space="preserve"> </w:t>
      </w:r>
      <w:r>
        <w:t xml:space="preserve">All gifts and hospitality at or above the threshold, whether approved, refused, given or received, must be recorded in the gifts register within five business days, stating date, giver, recipient, description, estimated value, business purpose and approval decision. Gifts of any value from public officials or trading counterparties must also be recorded. The Founder &amp; Principal keeps the register and reviews it quarterly.</w:t>
      </w:r>
    </w:p>
    <w:p>
      <w:pPr>
        <w:numPr>
          <w:ilvl w:val="0"/>
          <w:numId w:val="1003"/>
        </w:numPr>
        <w:pStyle w:val="Compact"/>
      </w:pPr>
      <w:r>
        <w:rPr>
          <w:bCs/>
          <w:b/>
        </w:rPr>
        <w:t xml:space="preserve">Travel and accommodation.</w:t>
      </w:r>
      <w:r>
        <w:t xml:space="preserve"> </w:t>
      </w:r>
      <w:r>
        <w:t xml:space="preserve">Business partners may not pay for Personnel’s travel or accommodation. For on-site training or site visits, the Group invoices travel costs or bears them itself. The Group may pay reasonable travel for a client’s staff only where necessary for a delivered service and with prior written approval.</w:t>
      </w:r>
    </w:p>
    <w:p>
      <w:pPr>
        <w:numPr>
          <w:ilvl w:val="0"/>
          <w:numId w:val="1003"/>
        </w:numPr>
        <w:pStyle w:val="Compact"/>
      </w:pPr>
      <w:r>
        <w:rPr>
          <w:bCs/>
          <w:b/>
        </w:rPr>
        <w:t xml:space="preserve">Events.</w:t>
      </w:r>
      <w:r>
        <w:t xml:space="preserve"> </w:t>
      </w:r>
      <w:r>
        <w:t xml:space="preserve">Attendance at supplier-hosted conferences or trade events is permitted where there is a clear business purpose, the Group pays its own travel, and the invitation is recorded in the register.</w:t>
      </w:r>
    </w:p>
    <w:p>
      <w:pPr>
        <w:numPr>
          <w:ilvl w:val="0"/>
          <w:numId w:val="1003"/>
        </w:numPr>
        <w:pStyle w:val="Compact"/>
      </w:pPr>
      <w:r>
        <w:rPr>
          <w:bCs/>
          <w:b/>
        </w:rPr>
        <w:t xml:space="preserve">Refusal and return.</w:t>
      </w:r>
      <w:r>
        <w:t xml:space="preserve"> </w:t>
      </w:r>
      <w:r>
        <w:t xml:space="preserve">A gift that cannot be accepted must be politely refused or returned with reference to this policy. Where return would cause offence, the gift may be accepted on behalf of the Group, recorded, and donated to a charity chosen by the Founder &amp; Principal.</w:t>
      </w:r>
    </w:p>
    <w:p>
      <w:pPr>
        <w:numPr>
          <w:ilvl w:val="0"/>
          <w:numId w:val="1003"/>
        </w:numPr>
        <w:pStyle w:val="Compact"/>
      </w:pPr>
      <w:r>
        <w:rPr>
          <w:bCs/>
          <w:b/>
        </w:rPr>
        <w:t xml:space="preserve">SetFit and Arcas GRC.</w:t>
      </w:r>
      <w:r>
        <w:t xml:space="preserve"> </w:t>
      </w:r>
      <w:r>
        <w:t xml:space="preserve">Personnel must not accept gifts, commissions or benefits from personal trainers, gyms or corporate clients in exchange for preferential treatment on the platforms, feature prioritisation or access to user data, including health and fitness data. Any such offer is reported and recorded.</w:t>
      </w:r>
    </w:p>
    <w:p>
      <w:pPr>
        <w:numPr>
          <w:ilvl w:val="0"/>
          <w:numId w:val="1003"/>
        </w:numPr>
        <w:pStyle w:val="Compact"/>
      </w:pPr>
      <w:r>
        <w:rPr>
          <w:bCs/>
          <w:b/>
        </w:rPr>
        <w:t xml:space="preserve">Agents and intermediaries</w:t>
      </w:r>
      <w:r>
        <w:t xml:space="preserve"> </w:t>
      </w:r>
      <w:r>
        <w:t xml:space="preserve">acting for the Group must apply these limits when dealing with the Group’s clients and counterparties and must report gifts and hospitality they provide on the Group’s behalf.</w:t>
      </w:r>
    </w:p>
    <w:p>
      <w:pPr>
        <w:numPr>
          <w:ilvl w:val="0"/>
          <w:numId w:val="1003"/>
        </w:numPr>
        <w:pStyle w:val="Compact"/>
      </w:pPr>
      <w:r>
        <w:rPr>
          <w:bCs/>
          <w:b/>
        </w:rPr>
        <w:t xml:space="preserve">Records.</w:t>
      </w:r>
      <w:r>
        <w:t xml:space="preserve"> </w:t>
      </w:r>
      <w:r>
        <w:t xml:space="preserve">Declarations and the gifts register are retained for at least 10 years and are available for audit by clients under contractual audit rights.</w:t>
      </w:r>
    </w:p>
    <w:bookmarkEnd w:id="24"/>
    <w:bookmarkStart w:id="25" w:name="reporting-breaches-and-consequences"/>
    <w:p>
      <w:pPr>
        <w:pStyle w:val="Heading2"/>
      </w:pPr>
      <w:r>
        <w:t xml:space="preserve">Reporting, breaches and consequences</w:t>
      </w:r>
    </w:p>
    <w:p>
      <w:pPr>
        <w:pStyle w:val="FirstParagraph"/>
      </w:pPr>
      <w:r>
        <w:t xml:space="preserve">Questions and declarations go to the Founder &amp; Principal or arildo@settigroup.com. Concerns about an undeclared conflict or an improper gift may be raised through arildo@settigroup.com (anonymous reports accepted) or by post to the registered address of either Group entity.</w:t>
      </w:r>
    </w:p>
    <w:p>
      <w:pPr>
        <w:pStyle w:val="BodyText"/>
      </w:pPr>
      <w:r>
        <w:t xml:space="preserve">Failure to declare a conflict, acceptance of a prohibited gift, or failure to record a gift at or above the threshold is a breach of this policy and of the Code of Conduct and Business Ethics. Consequences range from a written warning to termination of employment or contract under the applicable labour law and, where the gift amounts to a bribe, referral to the authorities under the Anti-Bribery and Anti-Corruption Policy.</w:t>
      </w:r>
    </w:p>
    <w:bookmarkEnd w:id="25"/>
    <w:bookmarkStart w:id="26" w:name="related-policies-and-references"/>
    <w:p>
      <w:pPr>
        <w:pStyle w:val="Heading2"/>
      </w:pPr>
      <w:r>
        <w:t xml:space="preserve">Related policies and references</w:t>
      </w:r>
    </w:p>
    <w:p>
      <w:pPr>
        <w:numPr>
          <w:ilvl w:val="0"/>
          <w:numId w:val="1004"/>
        </w:numPr>
        <w:pStyle w:val="Compact"/>
      </w:pPr>
      <w:r>
        <w:t xml:space="preserve">Code of Conduct and Business Ethics</w:t>
      </w:r>
    </w:p>
    <w:p>
      <w:pPr>
        <w:numPr>
          <w:ilvl w:val="0"/>
          <w:numId w:val="1004"/>
        </w:numPr>
        <w:pStyle w:val="Compact"/>
      </w:pPr>
      <w:r>
        <w:t xml:space="preserve">Anti-Bribery and Anti-Corruption Policy</w:t>
      </w:r>
    </w:p>
    <w:p>
      <w:pPr>
        <w:numPr>
          <w:ilvl w:val="0"/>
          <w:numId w:val="1004"/>
        </w:numPr>
        <w:pStyle w:val="Compact"/>
      </w:pPr>
      <w:r>
        <w:t xml:space="preserve">Speak-Up and Non-Retaliation Policy</w:t>
      </w:r>
    </w:p>
    <w:p>
      <w:pPr>
        <w:numPr>
          <w:ilvl w:val="0"/>
          <w:numId w:val="1004"/>
        </w:numPr>
        <w:pStyle w:val="Compact"/>
      </w:pPr>
      <w:r>
        <w:t xml:space="preserve">Third-Party Due Diligence and KYC Policy</w:t>
      </w:r>
    </w:p>
    <w:p>
      <w:pPr>
        <w:numPr>
          <w:ilvl w:val="0"/>
          <w:numId w:val="1004"/>
        </w:numPr>
        <w:pStyle w:val="Compact"/>
      </w:pPr>
      <w:r>
        <w:t xml:space="preserve">UAE Federal Decree-Law No. 31/2021 (bribery provisions); UAE Federal Decree-Law No. 33/2021 (Labour Law)</w:t>
      </w:r>
    </w:p>
    <w:p>
      <w:pPr>
        <w:numPr>
          <w:ilvl w:val="0"/>
          <w:numId w:val="1004"/>
        </w:numPr>
        <w:pStyle w:val="Compact"/>
      </w:pPr>
      <w:r>
        <w:t xml:space="preserve">Brazil: Lei 12.846/2013 and Decreto 11.129/2022; CLT (Decreto-Lei 5.452/1943)</w:t>
      </w:r>
    </w:p>
    <w:p>
      <w:pPr>
        <w:numPr>
          <w:ilvl w:val="0"/>
          <w:numId w:val="1004"/>
        </w:numPr>
        <w:pStyle w:val="Compact"/>
      </w:pPr>
      <w:r>
        <w:t xml:space="preserve">UK Bribery Act 2010; US FCPA; ISO 37001 (reference framework only; Setti Group is not certified)</w:t>
      </w:r>
    </w:p>
    <w:bookmarkEnd w:id="26"/>
    <w:bookmarkStart w:id="27" w:name="review-and-approval"/>
    <w:p>
      <w:pPr>
        <w:pStyle w:val="Heading2"/>
      </w:pPr>
      <w:r>
        <w:t xml:space="preserve">Review and approval</w:t>
      </w:r>
    </w:p>
    <w:p>
      <w:pPr>
        <w:pStyle w:val="FirstParagraph"/>
      </w:pPr>
      <w:r>
        <w:t xml:space="preserve">Version 1.0, effective 1 October 2026. Approved by the Founder &amp; Principal, Setti Group. Reviewed annually or on material change of law. Threshold values are reviewed annually against exchange rates and local practice.</w:t>
      </w:r>
    </w:p>
    <w:p>
      <w:pPr>
        <w:pStyle w:val="BlockText"/>
      </w:pPr>
      <w:r>
        <w:t xml:space="preserve">Draft prepared for legal review. Not effective until approved and signed.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Conflicts of Interest, Gifts and Hospitality Policy</dc:title>
  <dc:creator/>
  <dc:language>en</dc:language>
  <cp:keywords/>
  <dcterms:created xsi:type="dcterms:W3CDTF">2026-09-28T13:23:10Z</dcterms:created>
  <dcterms:modified xsi:type="dcterms:W3CDTF">2026-09-28T13:23:10Z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public</vt:lpwstr>
  </property>
  <property fmtid="{D5CDD505-2E9C-101B-9397-08002B2CF9AE}" pid="3" name="effective">
    <vt:lpwstr>2026-10-01</vt:lpwstr>
  </property>
  <property fmtid="{D5CDD505-2E9C-101B-9397-08002B2CF9AE}" pid="4" name="id">
    <vt:lpwstr>conflicts-gifts</vt:lpwstr>
  </property>
  <property fmtid="{D5CDD505-2E9C-101B-9397-08002B2CF9AE}" pid="5" name="owner">
    <vt:lpwstr>Founder &amp; Principal, Setti Group</vt:lpwstr>
  </property>
  <property fmtid="{D5CDD505-2E9C-101B-9397-08002B2CF9AE}" pid="6" name="summary">
    <vt:lpwstr>Requires declaration and management of conflicts of interest and sets limits, approval rules and a register for gifts and hospitality given or received.</vt:lpwstr>
  </property>
  <property fmtid="{D5CDD505-2E9C-101B-9397-08002B2CF9AE}" pid="7" name="version">
    <vt:lpwstr>1.0</vt:lpwstr>
  </property>
</Properties>
</file>