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Protection Policy</w:t>
      </w:r>
    </w:p>
    <w:bookmarkStart w:id="20" w:name="purpose-and-scope"/>
    <w:p>
      <w:pPr>
        <w:pStyle w:val="Heading2"/>
      </w:pPr>
      <w:r>
        <w:t xml:space="preserve">Purpose and scope</w:t>
      </w:r>
    </w:p>
    <w:p>
      <w:pPr>
        <w:pStyle w:val="FirstParagraph"/>
      </w:pPr>
      <w:r>
        <w:t xml:space="preserve">This policy sets out how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handle personal data. It applies to all personal data the Group processes as controller or processor, across its three activities: HSSE consulting and training (including IOSH Managing Safely), the software platforms Arcas GRC and SetFit, and physical commodity trade intermediation with BS Agrícola Ltda.</w:t>
      </w:r>
    </w:p>
    <w:p>
      <w:pPr>
        <w:pStyle w:val="BodyText"/>
      </w:pPr>
      <w:r>
        <w:t xml:space="preserve">It applies to the Founder &amp; Principal, employees, contractors and any person acting for the Group. It also informs clients, training delegates, app users, website visitors, suppliers and candidates of what they can expect.</w:t>
      </w:r>
    </w:p>
    <w:p>
      <w:pPr>
        <w:pStyle w:val="BodyText"/>
      </w:pPr>
      <w:r>
        <w:t xml:space="preserve">The governing laws are Lei 13.709/2018 (LGPD) in Brazil, Federal Decree-Law No. 45/2021 (PDPL) in the UAE and, where the Group processes data of people in the European Union, Regulation (EU) 2016/679 (GDPR). Where these laws differ, the Group applies the stricter requirement.</w:t>
      </w:r>
    </w:p>
    <w:bookmarkEnd w:id="20"/>
    <w:bookmarkStart w:id="21" w:name="policy-statement"/>
    <w:p>
      <w:pPr>
        <w:pStyle w:val="Heading2"/>
      </w:pPr>
      <w:r>
        <w:t xml:space="preserve">Policy statement</w:t>
      </w:r>
    </w:p>
    <w:p>
      <w:pPr>
        <w:pStyle w:val="FirstParagraph"/>
      </w:pPr>
      <w:r>
        <w:t xml:space="preserve">Setti Group processes personal data lawfully, fairly and transparently, for specified purposes only, keeping no more than is needed for no longer than is needed, and protecting it against loss, misuse and unauthorised access. Health and fitness data processed through SetFit is treated as sensitive data at all times. Data subjects can exercise their rights simply, free of charge and within the statutory deadlines.</w:t>
      </w:r>
    </w:p>
    <w:bookmarkEnd w:id="21"/>
    <w:bookmarkStart w:id="22" w:name="definitions"/>
    <w:p>
      <w:pPr>
        <w:pStyle w:val="Heading2"/>
      </w:pPr>
      <w:r>
        <w:t xml:space="preserve">Definitions</w:t>
      </w:r>
    </w:p>
    <w:p>
      <w:pPr>
        <w:numPr>
          <w:ilvl w:val="0"/>
          <w:numId w:val="1001"/>
        </w:numPr>
        <w:pStyle w:val="Compact"/>
      </w:pPr>
      <w:r>
        <w:rPr>
          <w:bCs/>
          <w:b/>
        </w:rPr>
        <w:t xml:space="preserve">Personal data</w:t>
      </w:r>
      <w:r>
        <w:t xml:space="preserve">: any information relating to an identified or identifiable natural person.</w:t>
      </w:r>
    </w:p>
    <w:p>
      <w:pPr>
        <w:numPr>
          <w:ilvl w:val="0"/>
          <w:numId w:val="1001"/>
        </w:numPr>
        <w:pStyle w:val="Compact"/>
      </w:pPr>
      <w:r>
        <w:rPr>
          <w:bCs/>
          <w:b/>
        </w:rPr>
        <w:t xml:space="preserve">Sensitive personal data</w:t>
      </w:r>
      <w:r>
        <w:t xml:space="preserve">: data on health, biometrics, genetics, racial or ethnic origin, religion, political opinion, union membership, sex life or sexual orientation. Body-composition, weight, measurement and workout data in SetFit is health-related and therefore sensitive.</w:t>
      </w:r>
    </w:p>
    <w:p>
      <w:pPr>
        <w:numPr>
          <w:ilvl w:val="0"/>
          <w:numId w:val="1001"/>
        </w:numPr>
        <w:pStyle w:val="Compact"/>
      </w:pPr>
      <w:r>
        <w:rPr>
          <w:bCs/>
          <w:b/>
        </w:rPr>
        <w:t xml:space="preserve">Data subject</w:t>
      </w:r>
      <w:r>
        <w:t xml:space="preserve">: the natural person the data relates to.</w:t>
      </w:r>
    </w:p>
    <w:p>
      <w:pPr>
        <w:numPr>
          <w:ilvl w:val="0"/>
          <w:numId w:val="1001"/>
        </w:numPr>
        <w:pStyle w:val="Compact"/>
      </w:pPr>
      <w:r>
        <w:rPr>
          <w:bCs/>
          <w:b/>
        </w:rPr>
        <w:t xml:space="preserve">Controller</w:t>
      </w:r>
      <w:r>
        <w:t xml:space="preserve">: the entity that decides why and how personal data is processed.</w:t>
      </w:r>
      <w:r>
        <w:t xml:space="preserve"> </w:t>
      </w:r>
      <w:r>
        <w:rPr>
          <w:bCs/>
          <w:b/>
        </w:rPr>
        <w:t xml:space="preserve">Processor</w:t>
      </w:r>
      <w:r>
        <w:t xml:space="preserve"> </w:t>
      </w:r>
      <w:r>
        <w:t xml:space="preserve">(LGPD</w:t>
      </w:r>
      <w:r>
        <w:t xml:space="preserve"> </w:t>
      </w:r>
      <w:r>
        <w:t xml:space="preserve">“</w:t>
      </w:r>
      <w:r>
        <w:t xml:space="preserve">operador</w:t>
      </w:r>
      <w:r>
        <w:t xml:space="preserve">”</w:t>
      </w:r>
      <w:r>
        <w:t xml:space="preserve">): an entity that processes on the controller’s instructions.</w:t>
      </w:r>
    </w:p>
    <w:p>
      <w:pPr>
        <w:numPr>
          <w:ilvl w:val="0"/>
          <w:numId w:val="1001"/>
        </w:numPr>
        <w:pStyle w:val="Compact"/>
      </w:pPr>
      <w:r>
        <w:rPr>
          <w:bCs/>
          <w:b/>
        </w:rPr>
        <w:t xml:space="preserve">Data-protection lead / encarregado</w:t>
      </w:r>
      <w:r>
        <w:t xml:space="preserve">: the person appointed under LGPD art. 41 to act as the contact point between the Group, data subjects and the ANPD.</w:t>
      </w:r>
    </w:p>
    <w:p>
      <w:pPr>
        <w:numPr>
          <w:ilvl w:val="0"/>
          <w:numId w:val="1001"/>
        </w:numPr>
        <w:pStyle w:val="Compact"/>
      </w:pPr>
      <w:r>
        <w:rPr>
          <w:bCs/>
          <w:b/>
        </w:rPr>
        <w:t xml:space="preserve">DPIA / RIPD</w:t>
      </w:r>
      <w:r>
        <w:t xml:space="preserve">: data protection impact assessment (LGPD</w:t>
      </w:r>
      <w:r>
        <w:t xml:space="preserve"> </w:t>
      </w:r>
      <w:r>
        <w:t xml:space="preserve">“</w:t>
      </w:r>
      <w:r>
        <w:t xml:space="preserve">relatório de impacto à proteção de dados pessoais</w:t>
      </w:r>
      <w:r>
        <w:t xml:space="preserve">”</w:t>
      </w:r>
      <w:r>
        <w:t xml:space="preserve">).</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is the appointed data-protection lead and the</w:t>
      </w:r>
      <w:r>
        <w:t xml:space="preserve"> </w:t>
      </w:r>
      <w:r>
        <w:t xml:space="preserve">“</w:t>
      </w:r>
      <w:r>
        <w:t xml:space="preserve">encarregado</w:t>
      </w:r>
      <w:r>
        <w:t xml:space="preserve">”</w:t>
      </w:r>
      <w:r>
        <w:t xml:space="preserve"> </w:t>
      </w:r>
      <w:r>
        <w:t xml:space="preserve">under LGPD art. 41 for both entities. The Founder &amp; Principal owns this policy, approves lawful bases and transfers, signs processor contracts, decides on breach notifications and answers data-subject requests. Contact: arildo@settigroup.com.</w:t>
      </w:r>
    </w:p>
    <w:p>
      <w:pPr>
        <w:numPr>
          <w:ilvl w:val="0"/>
          <w:numId w:val="1002"/>
        </w:numPr>
        <w:pStyle w:val="Compact"/>
      </w:pPr>
      <w:r>
        <w:rPr>
          <w:bCs/>
          <w:b/>
        </w:rPr>
        <w:t xml:space="preserve">Everyone working for the Group</w:t>
      </w:r>
      <w:r>
        <w:t xml:space="preserve"> </w:t>
      </w:r>
      <w:r>
        <w:t xml:space="preserve">must process personal data only for the purpose assigned, follow the Information Security Policy, and report any suspected breach immediately under the Security Incident and Data Breach Response Policy.</w:t>
      </w:r>
    </w:p>
    <w:p>
      <w:pPr>
        <w:numPr>
          <w:ilvl w:val="0"/>
          <w:numId w:val="1002"/>
        </w:numPr>
        <w:pStyle w:val="Compact"/>
      </w:pPr>
      <w:r>
        <w:rPr>
          <w:bCs/>
          <w:b/>
        </w:rPr>
        <w:t xml:space="preserve">Processors</w:t>
      </w:r>
      <w:r>
        <w:t xml:space="preserve"> </w:t>
      </w:r>
      <w:r>
        <w:t xml:space="preserve">(cloud hosting, payment providers, e-mail and productivity tools, analytics if enabled) act only on the Group’s written instructions under a data-processing agreement.</w:t>
      </w:r>
    </w:p>
    <w:p>
      <w:pPr>
        <w:numPr>
          <w:ilvl w:val="0"/>
          <w:numId w:val="1002"/>
        </w:numPr>
        <w:pStyle w:val="Compact"/>
      </w:pPr>
      <w:r>
        <w:rPr>
          <w:bCs/>
          <w:b/>
        </w:rPr>
        <w:t xml:space="preserve">Clients</w:t>
      </w:r>
      <w:r>
        <w:t xml:space="preserve"> </w:t>
      </w:r>
      <w:r>
        <w:t xml:space="preserve">that use Arcas GRC remain controllers of the data they upload; the Group acts as processor for that data.</w:t>
      </w:r>
    </w:p>
    <w:bookmarkEnd w:id="23"/>
    <w:bookmarkStart w:id="24" w:name="requirements"/>
    <w:p>
      <w:pPr>
        <w:pStyle w:val="Heading2"/>
      </w:pPr>
      <w:r>
        <w:t xml:space="preserve">Requirements</w:t>
      </w:r>
    </w:p>
    <w:p>
      <w:pPr>
        <w:numPr>
          <w:ilvl w:val="0"/>
          <w:numId w:val="1003"/>
        </w:numPr>
        <w:pStyle w:val="Compact"/>
      </w:pPr>
      <w:r>
        <w:rPr>
          <w:bCs/>
          <w:b/>
        </w:rPr>
        <w:t xml:space="preserve">Lawful basis before processing.</w:t>
      </w:r>
      <w:r>
        <w:t xml:space="preserve"> </w:t>
      </w:r>
      <w:r>
        <w:t xml:space="preserve">Every processing activity must be recorded in the Group’s processing register with its lawful basis. The bases used are: performance of a contract (client engagements, training delivery, SetFit and Arcas GRC accounts); legal obligation (accounting, tax, anti-money-laundering checks in trade intermediation); legitimate interest (website security logs, business-to-business contact, fraud prevention); and consent (marketing communications, optional analytics, and all SetFit health and fitness data under LGPD art. 11 and PDPL art. 4). Consent must be specific, informed, recorded and as easy to withdraw as to give.</w:t>
      </w:r>
    </w:p>
    <w:p>
      <w:pPr>
        <w:numPr>
          <w:ilvl w:val="0"/>
          <w:numId w:val="1003"/>
        </w:numPr>
        <w:pStyle w:val="Compact"/>
      </w:pPr>
      <w:r>
        <w:rPr>
          <w:bCs/>
          <w:b/>
        </w:rPr>
        <w:t xml:space="preserve">SetFit health and fitness data.</w:t>
      </w:r>
      <w:r>
        <w:t xml:space="preserve"> </w:t>
      </w:r>
      <w:r>
        <w:t xml:space="preserve">Body-composition, measurements, weight, workout and progress data may be collected only with the user’s explicit, separate consent, used only to provide the trainer-client service the user has signed up for, never used for advertising or sold, and shown to a personal trainer only where the user has linked that trainer. A DPIA must be completed and kept current for SetFit before any new feature that expands the categories of health data collected, adds automated profiling, or introduces a new processor.</w:t>
      </w:r>
    </w:p>
    <w:p>
      <w:pPr>
        <w:numPr>
          <w:ilvl w:val="0"/>
          <w:numId w:val="1003"/>
        </w:numPr>
        <w:pStyle w:val="Compact"/>
      </w:pPr>
      <w:r>
        <w:rPr>
          <w:bCs/>
          <w:b/>
        </w:rPr>
        <w:t xml:space="preserve">DPIA for high-risk processing.</w:t>
      </w:r>
      <w:r>
        <w:t xml:space="preserve"> </w:t>
      </w:r>
      <w:r>
        <w:t xml:space="preserve">In addition to SetFit, a DPIA is required for any new processing of sensitive data, large-scale monitoring, or processing of Arcas GRC client data outside the contracted scope. The DPIA is prepared by the Founder &amp; Principal, records the risks and mitigations, and is made available to the ANPD or the UAE Data Office on request.</w:t>
      </w:r>
    </w:p>
    <w:p>
      <w:pPr>
        <w:numPr>
          <w:ilvl w:val="0"/>
          <w:numId w:val="1003"/>
        </w:numPr>
        <w:pStyle w:val="Compact"/>
      </w:pPr>
      <w:r>
        <w:rPr>
          <w:bCs/>
          <w:b/>
        </w:rPr>
        <w:t xml:space="preserve">Transparency.</w:t>
      </w:r>
      <w:r>
        <w:t xml:space="preserve"> </w:t>
      </w:r>
      <w:r>
        <w:t xml:space="preserve">A privacy notice must be provided at the point of collection: the Privacy Notice (settigroup.com) for the website and training portal, the SetFit in-app notice for app users, the Arcas GRC terms for tenant users, and the engagement letter for consulting clients and delegates.</w:t>
      </w:r>
    </w:p>
    <w:p>
      <w:pPr>
        <w:numPr>
          <w:ilvl w:val="0"/>
          <w:numId w:val="1003"/>
        </w:numPr>
        <w:pStyle w:val="Compact"/>
      </w:pPr>
      <w:r>
        <w:rPr>
          <w:bCs/>
          <w:b/>
        </w:rPr>
        <w:t xml:space="preserve">Data minimisation and accuracy.</w:t>
      </w:r>
      <w:r>
        <w:t xml:space="preserve"> </w:t>
      </w:r>
      <w:r>
        <w:t xml:space="preserve">Collect only the fields needed for the stated purpose. HSE assessment reports must not include personal data of workers beyond what the assessment requires. Delegate records for IOSH courses contain only name, employer, contact details, attendance and results. Records are corrected on request.</w:t>
      </w:r>
    </w:p>
    <w:p>
      <w:pPr>
        <w:numPr>
          <w:ilvl w:val="0"/>
          <w:numId w:val="1003"/>
        </w:numPr>
        <w:pStyle w:val="Compact"/>
      </w:pPr>
      <w:r>
        <w:rPr>
          <w:bCs/>
          <w:b/>
        </w:rPr>
        <w:t xml:space="preserve">Data-subject rights.</w:t>
      </w:r>
      <w:r>
        <w:t xml:space="preserve"> </w:t>
      </w:r>
      <w:r>
        <w:t xml:space="preserve">The Group honours the rights in LGPD art. 18, PDPL arts. 13 to 18 and GDPR arts. 15 to 22: confirmation of processing, access, correction, anonymisation or deletion, portability, information on sharing, information on the consequences of refusing consent, withdrawal of consent, and objection. Requests to arildo@settigroup.com are acknowledged within 5 business days and answered within 15 days (LGPD art. 19), or within one month for GDPR requests, with identity verified first. SetFit users can also close their account and delete their data from inside the app.</w:t>
      </w:r>
    </w:p>
    <w:p>
      <w:pPr>
        <w:numPr>
          <w:ilvl w:val="0"/>
          <w:numId w:val="1003"/>
        </w:numPr>
        <w:pStyle w:val="Compact"/>
      </w:pPr>
      <w:r>
        <w:rPr>
          <w:bCs/>
          <w:b/>
        </w:rPr>
        <w:t xml:space="preserve">International transfers.</w:t>
      </w:r>
      <w:r>
        <w:t xml:space="preserve"> </w:t>
      </w:r>
      <w:r>
        <w:t xml:space="preserve">Personal data flows between Brazil, the UAE and, for some clients and users, the EU. Transfers are permitted only with a safeguard in place: for data leaving Brazil, the ANPD’s standard contractual clauses or the data subject’s specific consent (LGPD art. 33); for data leaving the UAE, a Data Office adequacy decision, contractual clauses or the data subject’s consent under PDPL arts. 22 and 23; for data leaving the EU, European Commission standard contractual clauses with a transfer impact assessment. Cloud hosting regions must be chosen so that SetFit user data is hosted in Brazil or in a region covered by these safeguards.</w:t>
      </w:r>
    </w:p>
    <w:p>
      <w:pPr>
        <w:numPr>
          <w:ilvl w:val="0"/>
          <w:numId w:val="1003"/>
        </w:numPr>
        <w:pStyle w:val="Compact"/>
      </w:pPr>
      <w:r>
        <w:rPr>
          <w:bCs/>
          <w:b/>
        </w:rPr>
        <w:t xml:space="preserve">Processors and vendors.</w:t>
      </w:r>
      <w:r>
        <w:t xml:space="preserve"> </w:t>
      </w:r>
      <w:r>
        <w:t xml:space="preserve">No processor may be engaged without a written contract covering purpose limitation, confidentiality, security measures, sub-processor approval, breach notification within 48 hours, audit rights, assistance with data-subject requests, and return or deletion of data at the end of the contract. The Founder &amp; Principal keeps a list of current processors (cloud hosting, payment providers, e-mail, productivity and any analytics tool) and reviews it annually.</w:t>
      </w:r>
    </w:p>
    <w:p>
      <w:pPr>
        <w:numPr>
          <w:ilvl w:val="0"/>
          <w:numId w:val="1003"/>
        </w:numPr>
        <w:pStyle w:val="Compact"/>
      </w:pPr>
      <w:r>
        <w:rPr>
          <w:bCs/>
          <w:b/>
        </w:rPr>
        <w:t xml:space="preserve">Client data in consulting and training.</w:t>
      </w:r>
      <w:r>
        <w:t xml:space="preserve"> </w:t>
      </w:r>
      <w:r>
        <w:t xml:space="preserve">Personal data received from clients (worker names, incident details, delegate lists) is used only for that engagement, segregated per client, and returned or deleted under the Data Retention and Disposal Policy.</w:t>
      </w:r>
    </w:p>
    <w:p>
      <w:pPr>
        <w:numPr>
          <w:ilvl w:val="0"/>
          <w:numId w:val="1003"/>
        </w:numPr>
        <w:pStyle w:val="Compact"/>
      </w:pPr>
      <w:r>
        <w:rPr>
          <w:bCs/>
          <w:b/>
        </w:rPr>
        <w:t xml:space="preserve">Trade intermediation.</w:t>
      </w:r>
      <w:r>
        <w:t xml:space="preserve"> </w:t>
      </w:r>
      <w:r>
        <w:t xml:space="preserve">Personal data of counterparties’ representatives collected for know-your-customer and sanctions screening under Federal Decree-Law No. 10/2019 and Lei 9.613/1998 is processed on the basis of legal obligation and kept only as long as those laws require.</w:t>
      </w:r>
    </w:p>
    <w:p>
      <w:pPr>
        <w:numPr>
          <w:ilvl w:val="0"/>
          <w:numId w:val="1003"/>
        </w:numPr>
        <w:pStyle w:val="Compact"/>
      </w:pPr>
      <w:r>
        <w:rPr>
          <w:bCs/>
          <w:b/>
        </w:rPr>
        <w:t xml:space="preserve">Security.</w:t>
      </w:r>
      <w:r>
        <w:t xml:space="preserve"> </w:t>
      </w:r>
      <w:r>
        <w:t xml:space="preserve">Personal data is protected by the controls in the Information Security Policy: multi-factor authentication, encryption at rest and in transit, least-privilege access, backups and logging.</w:t>
      </w:r>
    </w:p>
    <w:p>
      <w:pPr>
        <w:numPr>
          <w:ilvl w:val="0"/>
          <w:numId w:val="1003"/>
        </w:numPr>
        <w:pStyle w:val="Compact"/>
      </w:pPr>
      <w:r>
        <w:rPr>
          <w:bCs/>
          <w:b/>
        </w:rPr>
        <w:t xml:space="preserve">Retention.</w:t>
      </w:r>
      <w:r>
        <w:t xml:space="preserve"> </w:t>
      </w:r>
      <w:r>
        <w:t xml:space="preserve">Personal data is kept only for the periods in the Data Retention and Disposal Policy and then securely deleted or anonymised.</w:t>
      </w:r>
    </w:p>
    <w:p>
      <w:pPr>
        <w:numPr>
          <w:ilvl w:val="0"/>
          <w:numId w:val="1003"/>
        </w:numPr>
        <w:pStyle w:val="Compact"/>
      </w:pPr>
      <w:r>
        <w:rPr>
          <w:bCs/>
          <w:b/>
        </w:rPr>
        <w:t xml:space="preserve">Children.</w:t>
      </w:r>
      <w:r>
        <w:t xml:space="preserve"> </w:t>
      </w:r>
      <w:r>
        <w:t xml:space="preserve">SetFit and the Group’s services are not directed at children under 18. Accounts identified as belonging to minors without verifiable parental consent are closed and the data deleted.</w:t>
      </w:r>
    </w:p>
    <w:p>
      <w:pPr>
        <w:numPr>
          <w:ilvl w:val="0"/>
          <w:numId w:val="1003"/>
        </w:numPr>
        <w:pStyle w:val="Compact"/>
      </w:pPr>
      <w:r>
        <w:rPr>
          <w:bCs/>
          <w:b/>
        </w:rPr>
        <w:t xml:space="preserve">Automated decisions.</w:t>
      </w:r>
      <w:r>
        <w:t xml:space="preserve"> </w:t>
      </w:r>
      <w:r>
        <w:t xml:space="preserve">The Group does not make decisions with legal or similarly significant effects based solely on automated processing. Any AI-assisted analysis is subject to the Acceptable Use of IT and Artificial Intelligence Policy and to human review.</w:t>
      </w:r>
    </w:p>
    <w:p>
      <w:pPr>
        <w:numPr>
          <w:ilvl w:val="0"/>
          <w:numId w:val="1003"/>
        </w:numPr>
        <w:pStyle w:val="Compact"/>
      </w:pPr>
      <w:r>
        <w:rPr>
          <w:bCs/>
          <w:b/>
        </w:rPr>
        <w:t xml:space="preserve">Records and training.</w:t>
      </w:r>
      <w:r>
        <w:t xml:space="preserve"> </w:t>
      </w:r>
      <w:r>
        <w:t xml:space="preserve">The Founder &amp; Principal maintains the processing register, consent records, DPIAs, transfer safeguards and processor contracts, and ensures every person handling personal data receives data-protection training at onboarding and annually.</w:t>
      </w:r>
    </w:p>
    <w:bookmarkEnd w:id="24"/>
    <w:bookmarkStart w:id="25" w:name="reporting-breaches-and-consequences"/>
    <w:p>
      <w:pPr>
        <w:pStyle w:val="Heading2"/>
      </w:pPr>
      <w:r>
        <w:t xml:space="preserve">Reporting, breaches and consequences</w:t>
      </w:r>
    </w:p>
    <w:p>
      <w:pPr>
        <w:pStyle w:val="FirstParagraph"/>
      </w:pPr>
      <w:r>
        <w:t xml:space="preserve">Any suspected personal-data breach, misuse or non-compliance must be reported immediately to arildo@settigroup.com and handled under the Security Incident and Data Breach Response Policy, including notification to the ANPD, the UAE Data Office, EU supervisory authorities and affected data subjects where required. Concerns may also be raised through arildo@settigroup.com or by post to the registered address of either entity. Retaliation against anyone raising a concern in good faith is prohibited.</w:t>
      </w:r>
    </w:p>
    <w:p>
      <w:pPr>
        <w:pStyle w:val="BodyText"/>
      </w:pPr>
      <w:r>
        <w:t xml:space="preserve">Breaches of this policy by employees or contractors may result in disciplinary action up to termination under Federal Decree-Law No. 33/2021 or the CLT, and termination of contracts with processors. Data subjects have the right to complain to the ANPD (Brazil), the UAE Data Office or their EU supervisory authority.</w:t>
      </w:r>
    </w:p>
    <w:bookmarkEnd w:id="25"/>
    <w:bookmarkStart w:id="26" w:name="related-policies-and-references"/>
    <w:p>
      <w:pPr>
        <w:pStyle w:val="Heading2"/>
      </w:pPr>
      <w:r>
        <w:t xml:space="preserve">Related policies and references</w:t>
      </w:r>
    </w:p>
    <w:p>
      <w:pPr>
        <w:numPr>
          <w:ilvl w:val="0"/>
          <w:numId w:val="1004"/>
        </w:numPr>
        <w:pStyle w:val="Compact"/>
      </w:pPr>
      <w:r>
        <w:t xml:space="preserve">Privacy Notice (settigroup.com)</w:t>
      </w:r>
    </w:p>
    <w:p>
      <w:pPr>
        <w:numPr>
          <w:ilvl w:val="0"/>
          <w:numId w:val="1004"/>
        </w:numPr>
        <w:pStyle w:val="Compact"/>
      </w:pPr>
      <w:r>
        <w:t xml:space="preserve">Cookie Policy</w:t>
      </w:r>
    </w:p>
    <w:p>
      <w:pPr>
        <w:numPr>
          <w:ilvl w:val="0"/>
          <w:numId w:val="1004"/>
        </w:numPr>
        <w:pStyle w:val="Compact"/>
      </w:pPr>
      <w:r>
        <w:t xml:space="preserve">Data Retention and Disposal Policy</w:t>
      </w:r>
    </w:p>
    <w:p>
      <w:pPr>
        <w:numPr>
          <w:ilvl w:val="0"/>
          <w:numId w:val="1004"/>
        </w:numPr>
        <w:pStyle w:val="Compact"/>
      </w:pPr>
      <w:r>
        <w:t xml:space="preserve">Information Security Policy</w:t>
      </w:r>
    </w:p>
    <w:p>
      <w:pPr>
        <w:numPr>
          <w:ilvl w:val="0"/>
          <w:numId w:val="1004"/>
        </w:numPr>
        <w:pStyle w:val="Compact"/>
      </w:pPr>
      <w:r>
        <w:t xml:space="preserve">Security Incident and Data Breach Response Policy</w:t>
      </w:r>
    </w:p>
    <w:p>
      <w:pPr>
        <w:numPr>
          <w:ilvl w:val="0"/>
          <w:numId w:val="1004"/>
        </w:numPr>
        <w:pStyle w:val="Compact"/>
      </w:pPr>
      <w:r>
        <w:t xml:space="preserve">Acceptable Use of IT and Artificial Intelligence Policy</w:t>
      </w:r>
    </w:p>
    <w:p>
      <w:pPr>
        <w:numPr>
          <w:ilvl w:val="0"/>
          <w:numId w:val="1004"/>
        </w:numPr>
        <w:pStyle w:val="Compact"/>
      </w:pPr>
      <w:r>
        <w:t xml:space="preserve">Website Terms of Use</w:t>
      </w:r>
    </w:p>
    <w:p>
      <w:pPr>
        <w:numPr>
          <w:ilvl w:val="0"/>
          <w:numId w:val="1004"/>
        </w:numPr>
        <w:pStyle w:val="Compact"/>
      </w:pPr>
      <w:r>
        <w:t xml:space="preserve">Lei 13.709/2018 (LGPD); Federal Decree-Law No. 45/2021 (PDPL); Regulation (EU) 2016/679 (GDPR); ISO/IEC 27001 (reference framework, not a certification)</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any material change of law, of the Group’s activities or of its processors. Contact: arildo@settigroup.com.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creator/>
  <dc:language>en</dc:language>
  <cp:keywords/>
  <dcterms:created xsi:type="dcterms:W3CDTF">2026-09-28T13:23:11Z</dcterms:created>
  <dcterms:modified xsi:type="dcterms:W3CDTF">2026-09-28T13:23:11Z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data-protection</vt:lpwstr>
  </property>
  <property fmtid="{D5CDD505-2E9C-101B-9397-08002B2CF9AE}" pid="5" name="owner">
    <vt:lpwstr>Founder &amp; Principal, Setti Group</vt:lpwstr>
  </property>
  <property fmtid="{D5CDD505-2E9C-101B-9397-08002B2CF9AE}" pid="6" name="summary">
    <vt:lpwstr>How Setti Group collects, uses, protects, transfers and deletes personal data under the LGPD, the UAE PDPL and, where applicable, the GDPR.</vt:lpwstr>
  </property>
  <property fmtid="{D5CDD505-2E9C-101B-9397-08002B2CF9AE}" pid="7" name="version">
    <vt:lpwstr>1.0</vt:lpwstr>
  </property>
</Properties>
</file>