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 Retention and Disposal Policy</w:t>
      </w:r>
    </w:p>
    <w:bookmarkStart w:id="20" w:name="purpose-and-scope"/>
    <w:p>
      <w:pPr>
        <w:pStyle w:val="Heading2"/>
      </w:pPr>
      <w:r>
        <w:t xml:space="preserve">Purpose and scope</w:t>
      </w:r>
    </w:p>
    <w:p>
      <w:pPr>
        <w:pStyle w:val="FirstParagraph"/>
      </w:pPr>
      <w:r>
        <w:t xml:space="preserve">This policy defines how long Setti Group FZC (United Arab Emirates) and Setti Group Ltda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keep records and personal data, and how they are disposed of. It gives effect to the storage-limitation principle in Lei 13.709/2018 (LGPD) art. 15 and 16, Federal Decree-Law No. 45/2021 (PDPL) and Regulation (EU) 2016/679 (GDPR) art. 5(1)(e), while meeting the record-keeping duties in UAE and Brazilian tax, labour and anti-money-laundering law.</w:t>
      </w:r>
    </w:p>
    <w:p>
      <w:pPr>
        <w:pStyle w:val="BodyText"/>
      </w:pPr>
      <w:r>
        <w:t xml:space="preserve">It applies to all records in any medium (cloud storage, e-mail, laptops, the SetFit and Arcas GRC databases, paper) held by the Founder &amp; Principal, employees, contractors and processors on the Group’s behalf, across HSSE consulting and training, the software platforms and trade intermediation.</w:t>
      </w:r>
    </w:p>
    <w:bookmarkEnd w:id="20"/>
    <w:bookmarkStart w:id="21" w:name="policy-statement"/>
    <w:p>
      <w:pPr>
        <w:pStyle w:val="Heading2"/>
      </w:pPr>
      <w:r>
        <w:t xml:space="preserve">Policy statement</w:t>
      </w:r>
    </w:p>
    <w:p>
      <w:pPr>
        <w:pStyle w:val="FirstParagraph"/>
      </w:pPr>
      <w:r>
        <w:t xml:space="preserve">Setti Group keeps records only as long as they are needed for the purpose they were collected for, for a legal obligation, or for the exercise of rights in legal proceedings. When the retention period ends, records are securely deleted, anonymised or returned to the client. Health and fitness data of SetFit users is deleted promptly on account closure. The Group does not keep personal data</w:t>
      </w:r>
      <w:r>
        <w:t xml:space="preserve"> </w:t>
      </w:r>
      <w:r>
        <w:t xml:space="preserve">“</w:t>
      </w:r>
      <w:r>
        <w:t xml:space="preserve">just in case</w:t>
      </w:r>
      <w:r>
        <w:t xml:space="preserve">”</w:t>
      </w:r>
      <w:r>
        <w:t xml:space="preserve">.</w:t>
      </w:r>
    </w:p>
    <w:bookmarkEnd w:id="21"/>
    <w:bookmarkStart w:id="22" w:name="definitions"/>
    <w:p>
      <w:pPr>
        <w:pStyle w:val="Heading2"/>
      </w:pPr>
      <w:r>
        <w:t xml:space="preserve">Definitions</w:t>
      </w:r>
    </w:p>
    <w:p>
      <w:pPr>
        <w:numPr>
          <w:ilvl w:val="0"/>
          <w:numId w:val="1001"/>
        </w:numPr>
        <w:pStyle w:val="Compact"/>
      </w:pPr>
      <w:r>
        <w:rPr>
          <w:bCs/>
          <w:b/>
        </w:rPr>
        <w:t xml:space="preserve">Record</w:t>
      </w:r>
      <w:r>
        <w:t xml:space="preserve">: any document or data set, structured or unstructured, created or received in the course of business.</w:t>
      </w:r>
    </w:p>
    <w:p>
      <w:pPr>
        <w:numPr>
          <w:ilvl w:val="0"/>
          <w:numId w:val="1001"/>
        </w:numPr>
        <w:pStyle w:val="Compact"/>
      </w:pPr>
      <w:r>
        <w:rPr>
          <w:bCs/>
          <w:b/>
        </w:rPr>
        <w:t xml:space="preserve">Retention period</w:t>
      </w:r>
      <w:r>
        <w:t xml:space="preserve">: the time a record is kept, counted from the trigger event stated in the schedule.</w:t>
      </w:r>
    </w:p>
    <w:p>
      <w:pPr>
        <w:numPr>
          <w:ilvl w:val="0"/>
          <w:numId w:val="1001"/>
        </w:numPr>
        <w:pStyle w:val="Compact"/>
      </w:pPr>
      <w:r>
        <w:rPr>
          <w:bCs/>
          <w:b/>
        </w:rPr>
        <w:t xml:space="preserve">Legal hold</w:t>
      </w:r>
      <w:r>
        <w:t xml:space="preserve">: a suspension of disposal because the record is or may be needed for litigation, an investigation or a regulatory inquiry.</w:t>
      </w:r>
    </w:p>
    <w:p>
      <w:pPr>
        <w:numPr>
          <w:ilvl w:val="0"/>
          <w:numId w:val="1001"/>
        </w:numPr>
        <w:pStyle w:val="Compact"/>
      </w:pPr>
      <w:r>
        <w:rPr>
          <w:bCs/>
          <w:b/>
        </w:rPr>
        <w:t xml:space="preserve">Secure disposal</w:t>
      </w:r>
      <w:r>
        <w:t xml:space="preserve">: deletion, destruction or anonymisation such that the data cannot reasonably be recovered.</w:t>
      </w:r>
    </w:p>
    <w:p>
      <w:pPr>
        <w:numPr>
          <w:ilvl w:val="0"/>
          <w:numId w:val="1001"/>
        </w:numPr>
        <w:pStyle w:val="Compact"/>
      </w:pPr>
      <w:r>
        <w:rPr>
          <w:bCs/>
          <w:b/>
        </w:rPr>
        <w:t xml:space="preserve">Anonymisation</w:t>
      </w:r>
      <w:r>
        <w:t xml:space="preserve">: irreversible removal of the link between data and a person, after which the data is no longer personal data.</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owns this policy and the retention schedule, decides on legal holds, approves exceptions, verifies annual disposal runs, and ensures processors apply the same periods.</w:t>
      </w:r>
    </w:p>
    <w:p>
      <w:pPr>
        <w:numPr>
          <w:ilvl w:val="0"/>
          <w:numId w:val="1002"/>
        </w:numPr>
        <w:pStyle w:val="Compact"/>
      </w:pPr>
      <w:r>
        <w:rPr>
          <w:bCs/>
          <w:b/>
        </w:rPr>
        <w:t xml:space="preserve">Everyone working for the Group</w:t>
      </w:r>
      <w:r>
        <w:t xml:space="preserve"> </w:t>
      </w:r>
      <w:r>
        <w:t xml:space="preserve">must store records only in the approved systems listed in the Information Security Policy, apply the schedule to the records they create, and not keep local or personal copies beyond the retention period.</w:t>
      </w:r>
    </w:p>
    <w:p>
      <w:pPr>
        <w:numPr>
          <w:ilvl w:val="0"/>
          <w:numId w:val="1002"/>
        </w:numPr>
        <w:pStyle w:val="Compact"/>
      </w:pPr>
      <w:r>
        <w:rPr>
          <w:bCs/>
          <w:b/>
        </w:rPr>
        <w:t xml:space="preserve">Processors</w:t>
      </w:r>
      <w:r>
        <w:t xml:space="preserve"> </w:t>
      </w:r>
      <w:r>
        <w:t xml:space="preserve">(cloud hosting, payment providers, e-mail and productivity tools) must delete or return data at the end of the contract and confirm deletion in writing.</w:t>
      </w:r>
    </w:p>
    <w:bookmarkEnd w:id="23"/>
    <w:bookmarkStart w:id="24" w:name="requirements"/>
    <w:p>
      <w:pPr>
        <w:pStyle w:val="Heading2"/>
      </w:pPr>
      <w:r>
        <w:t xml:space="preserve">Requirements</w:t>
      </w:r>
    </w:p>
    <w:p>
      <w:pPr>
        <w:numPr>
          <w:ilvl w:val="0"/>
          <w:numId w:val="1003"/>
        </w:numPr>
        <w:pStyle w:val="Compact"/>
      </w:pPr>
      <w:r>
        <w:rPr>
          <w:bCs/>
          <w:b/>
        </w:rPr>
        <w:t xml:space="preserve">Retention schedule.</w:t>
      </w:r>
      <w:r>
        <w:t xml:space="preserve"> </w:t>
      </w:r>
      <w:r>
        <w:t xml:space="preserve">The following schedule is binding. Where a law requires a longer period than stated, the longer period applies and the reason is recorded.</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Retention period</w:t>
            </w:r>
          </w:p>
        </w:tc>
        <w:tc>
          <w:tcPr/>
          <w:p>
            <w:pPr>
              <w:pStyle w:val="Compact"/>
              <w:jc w:val="left"/>
            </w:pPr>
            <w:r>
              <w:t xml:space="preserve">Trigger</w:t>
            </w:r>
          </w:p>
        </w:tc>
        <w:tc>
          <w:tcPr/>
          <w:p>
            <w:pPr>
              <w:pStyle w:val="Compact"/>
              <w:jc w:val="left"/>
            </w:pPr>
            <w:r>
              <w:t xml:space="preserve">Basis</w:t>
            </w:r>
          </w:p>
        </w:tc>
      </w:tr>
      <w:tr>
        <w:tc>
          <w:tcPr/>
          <w:p>
            <w:pPr>
              <w:pStyle w:val="Compact"/>
              <w:jc w:val="left"/>
            </w:pPr>
            <w:r>
              <w:t xml:space="preserve">Client engagement records (proposals, contracts, correspondence, deliverables, invoices)</w:t>
            </w:r>
          </w:p>
        </w:tc>
        <w:tc>
          <w:tcPr/>
          <w:p>
            <w:pPr>
              <w:pStyle w:val="Compact"/>
              <w:jc w:val="left"/>
            </w:pPr>
            <w:r>
              <w:t xml:space="preserve">7 years</w:t>
            </w:r>
          </w:p>
        </w:tc>
        <w:tc>
          <w:tcPr/>
          <w:p>
            <w:pPr>
              <w:pStyle w:val="Compact"/>
              <w:jc w:val="left"/>
            </w:pPr>
            <w:r>
              <w:t xml:space="preserve">End of engagement</w:t>
            </w:r>
          </w:p>
        </w:tc>
        <w:tc>
          <w:tcPr/>
          <w:p>
            <w:pPr>
              <w:pStyle w:val="Compact"/>
              <w:jc w:val="left"/>
            </w:pPr>
            <w:r>
              <w:t xml:space="preserve">Contract claims; UAE Civil Transactions Law limitation; Brazilian Civil Code</w:t>
            </w:r>
          </w:p>
        </w:tc>
      </w:tr>
      <w:tr>
        <w:tc>
          <w:tcPr/>
          <w:p>
            <w:pPr>
              <w:pStyle w:val="Compact"/>
              <w:jc w:val="left"/>
            </w:pPr>
            <w:r>
              <w:t xml:space="preserve">HSE assessment reports, audits, risk assessments, incident investigations delivered to clients</w:t>
            </w:r>
          </w:p>
        </w:tc>
        <w:tc>
          <w:tcPr/>
          <w:p>
            <w:pPr>
              <w:pStyle w:val="Compact"/>
              <w:jc w:val="left"/>
            </w:pPr>
            <w:r>
              <w:t xml:space="preserve">10 years</w:t>
            </w:r>
          </w:p>
        </w:tc>
        <w:tc>
          <w:tcPr/>
          <w:p>
            <w:pPr>
              <w:pStyle w:val="Compact"/>
              <w:jc w:val="left"/>
            </w:pPr>
            <w:r>
              <w:t xml:space="preserve">Date of report</w:t>
            </w:r>
          </w:p>
        </w:tc>
        <w:tc>
          <w:tcPr/>
          <w:p>
            <w:pPr>
              <w:pStyle w:val="Compact"/>
              <w:jc w:val="left"/>
            </w:pPr>
            <w:r>
              <w:t xml:space="preserve">Professional liability; NR-1 and NR-7 record-keeping; client audit trails</w:t>
            </w:r>
          </w:p>
        </w:tc>
      </w:tr>
      <w:tr>
        <w:tc>
          <w:tcPr/>
          <w:p>
            <w:pPr>
              <w:pStyle w:val="Compact"/>
              <w:jc w:val="left"/>
            </w:pPr>
            <w:r>
              <w:t xml:space="preserve">Training and IOSH delegate records (registration, attendance, assessment results, certificates issued)</w:t>
            </w:r>
          </w:p>
        </w:tc>
        <w:tc>
          <w:tcPr/>
          <w:p>
            <w:pPr>
              <w:pStyle w:val="Compact"/>
              <w:jc w:val="left"/>
            </w:pPr>
            <w:r>
              <w:t xml:space="preserve">5 years</w:t>
            </w:r>
          </w:p>
        </w:tc>
        <w:tc>
          <w:tcPr/>
          <w:p>
            <w:pPr>
              <w:pStyle w:val="Compact"/>
              <w:jc w:val="left"/>
            </w:pPr>
            <w:r>
              <w:t xml:space="preserve">End of course</w:t>
            </w:r>
          </w:p>
        </w:tc>
        <w:tc>
          <w:tcPr/>
          <w:p>
            <w:pPr>
              <w:pStyle w:val="Compact"/>
              <w:jc w:val="left"/>
            </w:pPr>
            <w:r>
              <w:t xml:space="preserve">Certificate verification; IOSH requirements</w:t>
            </w:r>
          </w:p>
        </w:tc>
      </w:tr>
      <w:tr>
        <w:tc>
          <w:tcPr/>
          <w:p>
            <w:pPr>
              <w:pStyle w:val="Compact"/>
              <w:jc w:val="left"/>
            </w:pPr>
            <w:r>
              <w:t xml:space="preserve">SetFit user account data (identity, contact, subscription, trainer link)</w:t>
            </w:r>
          </w:p>
        </w:tc>
        <w:tc>
          <w:tcPr/>
          <w:p>
            <w:pPr>
              <w:pStyle w:val="Compact"/>
              <w:jc w:val="left"/>
            </w:pPr>
            <w:r>
              <w:t xml:space="preserve">While account active + 12 months</w:t>
            </w:r>
          </w:p>
        </w:tc>
        <w:tc>
          <w:tcPr/>
          <w:p>
            <w:pPr>
              <w:pStyle w:val="Compact"/>
              <w:jc w:val="left"/>
            </w:pPr>
            <w:r>
              <w:t xml:space="preserve">Account closure</w:t>
            </w:r>
          </w:p>
        </w:tc>
        <w:tc>
          <w:tcPr/>
          <w:p>
            <w:pPr>
              <w:pStyle w:val="Compact"/>
              <w:jc w:val="left"/>
            </w:pPr>
            <w:r>
              <w:t xml:space="preserve">Contract; dispute resolution</w:t>
            </w:r>
          </w:p>
        </w:tc>
      </w:tr>
      <w:tr>
        <w:tc>
          <w:tcPr/>
          <w:p>
            <w:pPr>
              <w:pStyle w:val="Compact"/>
              <w:jc w:val="left"/>
            </w:pPr>
            <w:r>
              <w:t xml:space="preserve">SetFit health and fitness measurements (body composition, weight, measurements, workouts, photos)</w:t>
            </w:r>
          </w:p>
        </w:tc>
        <w:tc>
          <w:tcPr/>
          <w:p>
            <w:pPr>
              <w:pStyle w:val="Compact"/>
              <w:jc w:val="left"/>
            </w:pPr>
            <w:r>
              <w:t xml:space="preserve">Deleted within 30 days of account closure; no post-closure retention</w:t>
            </w:r>
          </w:p>
        </w:tc>
        <w:tc>
          <w:tcPr/>
          <w:p>
            <w:pPr>
              <w:pStyle w:val="Compact"/>
              <w:jc w:val="left"/>
            </w:pPr>
            <w:r>
              <w:t xml:space="preserve">Account closure</w:t>
            </w:r>
          </w:p>
        </w:tc>
        <w:tc>
          <w:tcPr/>
          <w:p>
            <w:pPr>
              <w:pStyle w:val="Compact"/>
              <w:jc w:val="left"/>
            </w:pPr>
            <w:r>
              <w:t xml:space="preserve">LGPD arts. 11, 15 and 16; consent withdrawal</w:t>
            </w:r>
          </w:p>
        </w:tc>
      </w:tr>
      <w:tr>
        <w:tc>
          <w:tcPr/>
          <w:p>
            <w:pPr>
              <w:pStyle w:val="Compact"/>
              <w:jc w:val="left"/>
            </w:pPr>
            <w:r>
              <w:t xml:space="preserve">Arcas GRC tenant data (client-uploaded records, users, audit logs)</w:t>
            </w:r>
          </w:p>
        </w:tc>
        <w:tc>
          <w:tcPr/>
          <w:p>
            <w:pPr>
              <w:pStyle w:val="Compact"/>
              <w:jc w:val="left"/>
            </w:pPr>
            <w:r>
              <w:t xml:space="preserve">Per contract; returned or deleted within 90 days of termination</w:t>
            </w:r>
          </w:p>
        </w:tc>
        <w:tc>
          <w:tcPr/>
          <w:p>
            <w:pPr>
              <w:pStyle w:val="Compact"/>
              <w:jc w:val="left"/>
            </w:pPr>
            <w:r>
              <w:t xml:space="preserve">Contract termination</w:t>
            </w:r>
          </w:p>
        </w:tc>
        <w:tc>
          <w:tcPr/>
          <w:p>
            <w:pPr>
              <w:pStyle w:val="Compact"/>
              <w:jc w:val="left"/>
            </w:pPr>
            <w:r>
              <w:t xml:space="preserve">Processor obligations; client instructions</w:t>
            </w:r>
          </w:p>
        </w:tc>
      </w:tr>
      <w:tr>
        <w:tc>
          <w:tcPr/>
          <w:p>
            <w:pPr>
              <w:pStyle w:val="Compact"/>
              <w:jc w:val="left"/>
            </w:pPr>
            <w:r>
              <w:t xml:space="preserve">Accounting, tax and corporate records</w:t>
            </w:r>
          </w:p>
        </w:tc>
        <w:tc>
          <w:tcPr/>
          <w:p>
            <w:pPr>
              <w:pStyle w:val="Compact"/>
              <w:jc w:val="left"/>
            </w:pPr>
            <w:r>
              <w:t xml:space="preserve">UAE: 5 years under corporate-tax and VAT law; Brazil: 5 years, longer where required by tax or social-security law</w:t>
            </w:r>
          </w:p>
        </w:tc>
        <w:tc>
          <w:tcPr/>
          <w:p>
            <w:pPr>
              <w:pStyle w:val="Compact"/>
              <w:jc w:val="left"/>
            </w:pPr>
            <w:r>
              <w:t xml:space="preserve">End of financial year / filing</w:t>
            </w:r>
          </w:p>
        </w:tc>
        <w:tc>
          <w:tcPr/>
          <w:p>
            <w:pPr>
              <w:pStyle w:val="Compact"/>
              <w:jc w:val="left"/>
            </w:pPr>
            <w:r>
              <w:t xml:space="preserve">Tax law; commercial law</w:t>
            </w:r>
          </w:p>
        </w:tc>
      </w:tr>
      <w:tr>
        <w:tc>
          <w:tcPr/>
          <w:p>
            <w:pPr>
              <w:pStyle w:val="Compact"/>
              <w:jc w:val="left"/>
            </w:pPr>
            <w:r>
              <w:t xml:space="preserve">Trade intermediation KYC, sanctions screening and transaction records</w:t>
            </w:r>
          </w:p>
        </w:tc>
        <w:tc>
          <w:tcPr/>
          <w:p>
            <w:pPr>
              <w:pStyle w:val="Compact"/>
              <w:jc w:val="left"/>
            </w:pPr>
            <w:r>
              <w:t xml:space="preserve">5 years</w:t>
            </w:r>
          </w:p>
        </w:tc>
        <w:tc>
          <w:tcPr/>
          <w:p>
            <w:pPr>
              <w:pStyle w:val="Compact"/>
              <w:jc w:val="left"/>
            </w:pPr>
            <w:r>
              <w:t xml:space="preserve">End of business relationship or transaction</w:t>
            </w:r>
          </w:p>
        </w:tc>
        <w:tc>
          <w:tcPr/>
          <w:p>
            <w:pPr>
              <w:pStyle w:val="Compact"/>
              <w:jc w:val="left"/>
            </w:pPr>
            <w:r>
              <w:t xml:space="preserve">Federal Decree-Law No. 10/2019; Lei 9.613/1998</w:t>
            </w:r>
          </w:p>
        </w:tc>
      </w:tr>
      <w:tr>
        <w:tc>
          <w:tcPr/>
          <w:p>
            <w:pPr>
              <w:pStyle w:val="Compact"/>
              <w:jc w:val="left"/>
            </w:pPr>
            <w:r>
              <w:t xml:space="preserve">Employment records (contracts, payroll, leave, disciplinary)</w:t>
            </w:r>
          </w:p>
        </w:tc>
        <w:tc>
          <w:tcPr/>
          <w:p>
            <w:pPr>
              <w:pStyle w:val="Compact"/>
              <w:jc w:val="left"/>
            </w:pPr>
            <w:r>
              <w:t xml:space="preserve">UAE: 2 years after end of employment (Federal Decree-Law No. 33/2021); Brazil: per CLT and social-security rules, typically 5 to 30 years by record type</w:t>
            </w:r>
          </w:p>
        </w:tc>
        <w:tc>
          <w:tcPr/>
          <w:p>
            <w:pPr>
              <w:pStyle w:val="Compact"/>
              <w:jc w:val="left"/>
            </w:pPr>
            <w:r>
              <w:t xml:space="preserve">End of employment</w:t>
            </w:r>
          </w:p>
        </w:tc>
        <w:tc>
          <w:tcPr/>
          <w:p>
            <w:pPr>
              <w:pStyle w:val="Compact"/>
              <w:jc w:val="left"/>
            </w:pPr>
            <w:r>
              <w:t xml:space="preserve">Labour law</w:t>
            </w:r>
          </w:p>
        </w:tc>
      </w:tr>
      <w:tr>
        <w:tc>
          <w:tcPr/>
          <w:p>
            <w:pPr>
              <w:pStyle w:val="Compact"/>
              <w:jc w:val="left"/>
            </w:pPr>
            <w:r>
              <w:t xml:space="preserve">CCTV</w:t>
            </w:r>
          </w:p>
        </w:tc>
        <w:tc>
          <w:tcPr/>
          <w:p>
            <w:pPr>
              <w:pStyle w:val="Compact"/>
              <w:jc w:val="left"/>
            </w:pPr>
            <w:r>
              <w:t xml:space="preserve">None; the Group does not operate CCTV</w:t>
            </w:r>
          </w:p>
        </w:tc>
        <w:tc>
          <w:tcPr/>
          <w:p>
            <w:pPr>
              <w:pStyle w:val="Compact"/>
              <w:jc w:val="left"/>
            </w:pPr>
            <w:r>
              <w:t xml:space="preserve">Not applicable</w:t>
            </w:r>
          </w:p>
        </w:tc>
        <w:tc>
          <w:tcPr/>
          <w:p>
            <w:pPr>
              <w:pStyle w:val="Compact"/>
              <w:jc w:val="left"/>
            </w:pPr>
            <w:r>
              <w:t xml:space="preserve">Not applicable</w:t>
            </w:r>
          </w:p>
        </w:tc>
      </w:tr>
      <w:tr>
        <w:tc>
          <w:tcPr/>
          <w:p>
            <w:pPr>
              <w:pStyle w:val="Compact"/>
              <w:jc w:val="left"/>
            </w:pPr>
            <w:r>
              <w:t xml:space="preserve">Marketing consents and contact lists</w:t>
            </w:r>
          </w:p>
        </w:tc>
        <w:tc>
          <w:tcPr/>
          <w:p>
            <w:pPr>
              <w:pStyle w:val="Compact"/>
              <w:jc w:val="left"/>
            </w:pPr>
            <w:r>
              <w:t xml:space="preserve">Until consent is withdrawn or contact is inactive for 24 months</w:t>
            </w:r>
          </w:p>
        </w:tc>
        <w:tc>
          <w:tcPr/>
          <w:p>
            <w:pPr>
              <w:pStyle w:val="Compact"/>
              <w:jc w:val="left"/>
            </w:pPr>
            <w:r>
              <w:t xml:space="preserve">Withdrawal / inactivity</w:t>
            </w:r>
          </w:p>
        </w:tc>
        <w:tc>
          <w:tcPr/>
          <w:p>
            <w:pPr>
              <w:pStyle w:val="Compact"/>
              <w:jc w:val="left"/>
            </w:pPr>
            <w:r>
              <w:t xml:space="preserve">Consent</w:t>
            </w:r>
          </w:p>
        </w:tc>
      </w:tr>
      <w:tr>
        <w:tc>
          <w:tcPr/>
          <w:p>
            <w:pPr>
              <w:pStyle w:val="Compact"/>
              <w:jc w:val="left"/>
            </w:pPr>
            <w:r>
              <w:t xml:space="preserve">Recruitment records (CVs, interview notes) of unsuccessful candidates</w:t>
            </w:r>
          </w:p>
        </w:tc>
        <w:tc>
          <w:tcPr/>
          <w:p>
            <w:pPr>
              <w:pStyle w:val="Compact"/>
              <w:jc w:val="left"/>
            </w:pPr>
            <w:r>
              <w:t xml:space="preserve">6 months</w:t>
            </w:r>
          </w:p>
        </w:tc>
        <w:tc>
          <w:tcPr/>
          <w:p>
            <w:pPr>
              <w:pStyle w:val="Compact"/>
              <w:jc w:val="left"/>
            </w:pPr>
            <w:r>
              <w:t xml:space="preserve">Decision date</w:t>
            </w:r>
          </w:p>
        </w:tc>
        <w:tc>
          <w:tcPr/>
          <w:p>
            <w:pPr>
              <w:pStyle w:val="Compact"/>
              <w:jc w:val="left"/>
            </w:pPr>
            <w:r>
              <w:t xml:space="preserve">Legitimate interest; discrimination claims; deleted at 6 months unless the candidate consents to a talent pool</w:t>
            </w:r>
          </w:p>
        </w:tc>
      </w:tr>
      <w:tr>
        <w:tc>
          <w:tcPr/>
          <w:p>
            <w:pPr>
              <w:pStyle w:val="Compact"/>
              <w:jc w:val="left"/>
            </w:pPr>
            <w:r>
              <w:t xml:space="preserve">Recruitment records of hired candidates</w:t>
            </w:r>
          </w:p>
        </w:tc>
        <w:tc>
          <w:tcPr/>
          <w:p>
            <w:pPr>
              <w:pStyle w:val="Compact"/>
              <w:jc w:val="left"/>
            </w:pPr>
            <w:r>
              <w:t xml:space="preserve">Transferred to the employment record</w:t>
            </w:r>
          </w:p>
        </w:tc>
        <w:tc>
          <w:tcPr/>
          <w:p>
            <w:pPr>
              <w:pStyle w:val="Compact"/>
              <w:jc w:val="left"/>
            </w:pPr>
            <w:r>
              <w:t xml:space="preserve">Hire date</w:t>
            </w:r>
          </w:p>
        </w:tc>
        <w:tc>
          <w:tcPr/>
          <w:p>
            <w:pPr>
              <w:pStyle w:val="Compact"/>
              <w:jc w:val="left"/>
            </w:pPr>
            <w:r>
              <w:t xml:space="preserve">Employment contract</w:t>
            </w:r>
          </w:p>
        </w:tc>
      </w:tr>
      <w:tr>
        <w:tc>
          <w:tcPr/>
          <w:p>
            <w:pPr>
              <w:pStyle w:val="Compact"/>
              <w:jc w:val="left"/>
            </w:pPr>
            <w:r>
              <w:t xml:space="preserve">System, access, security and website server logs</w:t>
            </w:r>
          </w:p>
        </w:tc>
        <w:tc>
          <w:tcPr/>
          <w:p>
            <w:pPr>
              <w:pStyle w:val="Compact"/>
              <w:jc w:val="left"/>
            </w:pPr>
            <w:r>
              <w:t xml:space="preserve">12 months</w:t>
            </w:r>
          </w:p>
        </w:tc>
        <w:tc>
          <w:tcPr/>
          <w:p>
            <w:pPr>
              <w:pStyle w:val="Compact"/>
              <w:jc w:val="left"/>
            </w:pPr>
            <w:r>
              <w:t xml:space="preserve">Log date</w:t>
            </w:r>
          </w:p>
        </w:tc>
        <w:tc>
          <w:tcPr/>
          <w:p>
            <w:pPr>
              <w:pStyle w:val="Compact"/>
              <w:jc w:val="left"/>
            </w:pPr>
            <w:r>
              <w:t xml:space="preserve">Security; incident investigation</w:t>
            </w:r>
          </w:p>
        </w:tc>
      </w:tr>
      <w:tr>
        <w:tc>
          <w:tcPr/>
          <w:p>
            <w:pPr>
              <w:pStyle w:val="Compact"/>
              <w:jc w:val="left"/>
            </w:pPr>
            <w:r>
              <w:t xml:space="preserve">Data-subject requests, consent records, DPIAs, breach register</w:t>
            </w:r>
          </w:p>
        </w:tc>
        <w:tc>
          <w:tcPr/>
          <w:p>
            <w:pPr>
              <w:pStyle w:val="Compact"/>
              <w:jc w:val="left"/>
            </w:pPr>
            <w:r>
              <w:t xml:space="preserve">5 years after closure of the request or event</w:t>
            </w:r>
          </w:p>
        </w:tc>
        <w:tc>
          <w:tcPr/>
          <w:p>
            <w:pPr>
              <w:pStyle w:val="Compact"/>
              <w:jc w:val="left"/>
            </w:pPr>
            <w:r>
              <w:t xml:space="preserve">Closure</w:t>
            </w:r>
          </w:p>
        </w:tc>
        <w:tc>
          <w:tcPr/>
          <w:p>
            <w:pPr>
              <w:pStyle w:val="Compact"/>
              <w:jc w:val="left"/>
            </w:pPr>
            <w:r>
              <w:t xml:space="preserve">Accountability under LGPD, PDPL and GDPR</w:t>
            </w:r>
          </w:p>
        </w:tc>
      </w:tr>
    </w:tbl>
    <w:p>
      <w:pPr>
        <w:numPr>
          <w:ilvl w:val="0"/>
          <w:numId w:val="1004"/>
        </w:numPr>
        <w:pStyle w:val="Compact"/>
      </w:pPr>
      <w:r>
        <w:rPr>
          <w:bCs/>
          <w:b/>
        </w:rPr>
        <w:t xml:space="preserve">Trigger dates.</w:t>
      </w:r>
      <w:r>
        <w:t xml:space="preserve"> </w:t>
      </w:r>
      <w:r>
        <w:t xml:space="preserve">The retention period starts on the trigger event in the schedule, not on creation of the record. Where the trigger is unknown, the creation date is used.</w:t>
      </w:r>
    </w:p>
    <w:p>
      <w:pPr>
        <w:numPr>
          <w:ilvl w:val="0"/>
          <w:numId w:val="1004"/>
        </w:numPr>
        <w:pStyle w:val="Compact"/>
      </w:pPr>
      <w:r>
        <w:rPr>
          <w:bCs/>
          <w:b/>
        </w:rPr>
        <w:t xml:space="preserve">SetFit account closure.</w:t>
      </w:r>
      <w:r>
        <w:t xml:space="preserve"> </w:t>
      </w:r>
      <w:r>
        <w:t xml:space="preserve">When a user closes their account, or asks for deletion under LGPD art. 18, health and fitness measurements are deleted from production within 30 days and from backups within 90 days. The user’s linked personal trainer loses access to that data at the moment of closure. Identity and subscription data is kept for 12 months for dispute and refund purposes only, then deleted. Aggregated, anonymised statistics may be kept.</w:t>
      </w:r>
    </w:p>
    <w:p>
      <w:pPr>
        <w:numPr>
          <w:ilvl w:val="0"/>
          <w:numId w:val="1004"/>
        </w:numPr>
        <w:pStyle w:val="Compact"/>
      </w:pPr>
      <w:r>
        <w:rPr>
          <w:bCs/>
          <w:b/>
        </w:rPr>
        <w:t xml:space="preserve">Arcas GRC termination.</w:t>
      </w:r>
      <w:r>
        <w:t xml:space="preserve"> </w:t>
      </w:r>
      <w:r>
        <w:t xml:space="preserve">On termination of a tenant contract, the Group provides an export of the tenant’s data in a common format on request within 30 days, then deletes tenant data from production and backups within 90 days and confirms deletion in writing, unless the client instructs otherwise in writing or a legal hold applies.</w:t>
      </w:r>
    </w:p>
    <w:p>
      <w:pPr>
        <w:numPr>
          <w:ilvl w:val="0"/>
          <w:numId w:val="1004"/>
        </w:numPr>
        <w:pStyle w:val="Compact"/>
      </w:pPr>
      <w:r>
        <w:rPr>
          <w:bCs/>
          <w:b/>
        </w:rPr>
        <w:t xml:space="preserve">Client data in consulting and training.</w:t>
      </w:r>
      <w:r>
        <w:t xml:space="preserve"> </w:t>
      </w:r>
      <w:r>
        <w:t xml:space="preserve">Raw client data used for an HSE assessment (worker lists, incident files, site photos) is returned or deleted within 90 days of delivery of the final report; only the report and supporting evidence needed to defend it are kept for the 10-year period.</w:t>
      </w:r>
    </w:p>
    <w:p>
      <w:pPr>
        <w:numPr>
          <w:ilvl w:val="0"/>
          <w:numId w:val="1004"/>
        </w:numPr>
        <w:pStyle w:val="Compact"/>
      </w:pPr>
      <w:r>
        <w:rPr>
          <w:bCs/>
          <w:b/>
        </w:rPr>
        <w:t xml:space="preserve">Legal hold.</w:t>
      </w:r>
      <w:r>
        <w:t xml:space="preserve"> </w:t>
      </w:r>
      <w:r>
        <w:t xml:space="preserve">When the Founder &amp; Principal becomes aware of actual or reasonably anticipated litigation, a regulatory inquiry or an internal investigation, the relevant records are placed on legal hold, disposal is suspended, and the hold is recorded and communicated to everyone holding those records. The hold is lifted in writing.</w:t>
      </w:r>
    </w:p>
    <w:p>
      <w:pPr>
        <w:numPr>
          <w:ilvl w:val="0"/>
          <w:numId w:val="1004"/>
        </w:numPr>
        <w:pStyle w:val="Compact"/>
      </w:pPr>
      <w:r>
        <w:rPr>
          <w:bCs/>
          <w:b/>
        </w:rPr>
        <w:t xml:space="preserve">Annual disposal run.</w:t>
      </w:r>
      <w:r>
        <w:t xml:space="preserve"> </w:t>
      </w:r>
      <w:r>
        <w:t xml:space="preserve">Once a year, and at least in the month after the financial year end, the Founder &amp; Principal reviews each storage location against the schedule, disposes of expired records and records the run (date, categories, method).</w:t>
      </w:r>
    </w:p>
    <w:p>
      <w:pPr>
        <w:numPr>
          <w:ilvl w:val="0"/>
          <w:numId w:val="1004"/>
        </w:numPr>
        <w:pStyle w:val="Compact"/>
      </w:pPr>
      <w:r>
        <w:rPr>
          <w:bCs/>
          <w:b/>
        </w:rPr>
        <w:t xml:space="preserve">Secure disposal methods.</w:t>
      </w:r>
      <w:r>
        <w:t xml:space="preserve"> </w:t>
      </w:r>
      <w:r>
        <w:t xml:space="preserve">Electronic records: deletion from the application and from cloud storage using the provider’s permanent-deletion function, followed by expiry of backups; database records deleted or anonymised by script with a completion log. Devices: full-disk encryption keys destroyed and the device factory-reset or the drive cryptographically erased before resale, reuse or disposal. Paper: cross-cut shredding or a certified destruction service. Deletion of data held by processors is requested in writing and confirmed.</w:t>
      </w:r>
    </w:p>
    <w:p>
      <w:pPr>
        <w:numPr>
          <w:ilvl w:val="0"/>
          <w:numId w:val="1004"/>
        </w:numPr>
        <w:pStyle w:val="Compact"/>
      </w:pPr>
      <w:r>
        <w:rPr>
          <w:bCs/>
          <w:b/>
        </w:rPr>
        <w:t xml:space="preserve">Backups.</w:t>
      </w:r>
      <w:r>
        <w:t xml:space="preserve"> </w:t>
      </w:r>
      <w:r>
        <w:t xml:space="preserve">Backups are kept on a rolling schedule of no more than 90 days. Data deleted from production is therefore removed from all backups within 90 days. Backups are not restored to recover data that has passed its retention period.</w:t>
      </w:r>
    </w:p>
    <w:p>
      <w:pPr>
        <w:numPr>
          <w:ilvl w:val="0"/>
          <w:numId w:val="1004"/>
        </w:numPr>
        <w:pStyle w:val="Compact"/>
      </w:pPr>
      <w:r>
        <w:rPr>
          <w:bCs/>
          <w:b/>
        </w:rPr>
        <w:t xml:space="preserve">E-mail.</w:t>
      </w:r>
      <w:r>
        <w:t xml:space="preserve"> </w:t>
      </w:r>
      <w:r>
        <w:t xml:space="preserve">E-mail is a record like any other. Messages that form part of a client engagement, contract, tax or HR record must be filed in the relevant system; the mailbox itself is not an archive. Mailboxes of leavers are closed and their contents reviewed and filed or deleted within 90 days.</w:t>
      </w:r>
    </w:p>
    <w:p>
      <w:pPr>
        <w:numPr>
          <w:ilvl w:val="0"/>
          <w:numId w:val="1004"/>
        </w:numPr>
        <w:pStyle w:val="Compact"/>
      </w:pPr>
      <w:r>
        <w:rPr>
          <w:bCs/>
          <w:b/>
        </w:rPr>
        <w:t xml:space="preserve">Personal devices and local copies.</w:t>
      </w:r>
      <w:r>
        <w:t xml:space="preserve"> </w:t>
      </w:r>
      <w:r>
        <w:t xml:space="preserve">No record may be kept only on a personal device or in a personal account. Local working copies are deleted when the work is filed in the approved system.</w:t>
      </w:r>
    </w:p>
    <w:p>
      <w:pPr>
        <w:numPr>
          <w:ilvl w:val="0"/>
          <w:numId w:val="1004"/>
        </w:numPr>
        <w:pStyle w:val="Compact"/>
      </w:pPr>
      <w:r>
        <w:rPr>
          <w:bCs/>
          <w:b/>
        </w:rPr>
        <w:t xml:space="preserve">Exceptions.</w:t>
      </w:r>
      <w:r>
        <w:t xml:space="preserve"> </w:t>
      </w:r>
      <w:r>
        <w:t xml:space="preserve">Any retention beyond the schedule must be approved in writing by the Founder &amp; Principal, recorded with its legal basis and reviewed annually.</w:t>
      </w:r>
    </w:p>
    <w:bookmarkEnd w:id="24"/>
    <w:bookmarkStart w:id="25" w:name="reporting-breaches-and-consequences"/>
    <w:p>
      <w:pPr>
        <w:pStyle w:val="Heading2"/>
      </w:pPr>
      <w:r>
        <w:t xml:space="preserve">Reporting, breaches and consequences</w:t>
      </w:r>
    </w:p>
    <w:p>
      <w:pPr>
        <w:pStyle w:val="FirstParagraph"/>
      </w:pPr>
      <w:r>
        <w:t xml:space="preserve">Anyone who becomes aware that records are being kept beyond the schedule, disposed of before it ends, or disposed of insecurely must report it to arildo@settigroup.com. Unauthorised destruction or loss of personal data is a security incident under the Security Incident and Data Breach Response Policy. Concerns may also be raised through arildo@settigroup.com or by post to the registered address of either entity.</w:t>
      </w:r>
    </w:p>
    <w:p>
      <w:pPr>
        <w:pStyle w:val="BodyText"/>
      </w:pPr>
      <w:r>
        <w:t xml:space="preserve">Breaches of this policy may result in disciplinary action under Federal Decree-Law No. 33/2021 or the CLT, and in termination of contracts with processors. Data subjects may complain to the ANPD, the UAE Data Office or their EU supervisory authority.</w:t>
      </w:r>
    </w:p>
    <w:bookmarkEnd w:id="25"/>
    <w:bookmarkStart w:id="26" w:name="related-policies-and-references"/>
    <w:p>
      <w:pPr>
        <w:pStyle w:val="Heading2"/>
      </w:pPr>
      <w:r>
        <w:t xml:space="preserve">Related policies and references</w:t>
      </w:r>
    </w:p>
    <w:p>
      <w:pPr>
        <w:numPr>
          <w:ilvl w:val="0"/>
          <w:numId w:val="1005"/>
        </w:numPr>
        <w:pStyle w:val="Compact"/>
      </w:pPr>
      <w:r>
        <w:t xml:space="preserve">Data Protection Policy</w:t>
      </w:r>
    </w:p>
    <w:p>
      <w:pPr>
        <w:numPr>
          <w:ilvl w:val="0"/>
          <w:numId w:val="1005"/>
        </w:numPr>
        <w:pStyle w:val="Compact"/>
      </w:pPr>
      <w:r>
        <w:t xml:space="preserve">Privacy Notice (settigroup.com)</w:t>
      </w:r>
    </w:p>
    <w:p>
      <w:pPr>
        <w:numPr>
          <w:ilvl w:val="0"/>
          <w:numId w:val="1005"/>
        </w:numPr>
        <w:pStyle w:val="Compact"/>
      </w:pPr>
      <w:r>
        <w:t xml:space="preserve">Information Security Policy</w:t>
      </w:r>
    </w:p>
    <w:p>
      <w:pPr>
        <w:numPr>
          <w:ilvl w:val="0"/>
          <w:numId w:val="1005"/>
        </w:numPr>
        <w:pStyle w:val="Compact"/>
      </w:pPr>
      <w:r>
        <w:t xml:space="preserve">Security Incident and Data Breach Response Policy</w:t>
      </w:r>
    </w:p>
    <w:p>
      <w:pPr>
        <w:numPr>
          <w:ilvl w:val="0"/>
          <w:numId w:val="1005"/>
        </w:numPr>
        <w:pStyle w:val="Compact"/>
      </w:pPr>
      <w:r>
        <w:t xml:space="preserve">Acceptable Use of IT and Artificial Intelligence Policy</w:t>
      </w:r>
    </w:p>
    <w:p>
      <w:pPr>
        <w:numPr>
          <w:ilvl w:val="0"/>
          <w:numId w:val="1005"/>
        </w:numPr>
        <w:pStyle w:val="Compact"/>
      </w:pPr>
      <w:r>
        <w:t xml:space="preserve">Lei 13.709/2018 (LGPD); Federal Decree-Law No. 45/2021 (PDPL); Regulation (EU) 2016/679 (GDPR); Federal Decree-Law No. 10/2019; Lei 9.613/1998; Federal Decree-Law No. 33/2021; CLT; NR-1 and NR-7; ISO/IEC 27001 (reference framework, not a certification)</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including any change to statutory retention periods in the UAE, Brazil or the EU.</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12">
    <w:nsid w:val="A9941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Retention and Disposal Policy</dc:title>
  <dc:creator/>
  <dc:language>en</dc:language>
  <cp:keywords/>
  <dcterms:created xsi:type="dcterms:W3CDTF">2026-09-28T13:23:11Z</dcterms:created>
  <dcterms:modified xsi:type="dcterms:W3CDTF">2026-09-28T13:23:11Z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data-retention</vt:lpwstr>
  </property>
  <property fmtid="{D5CDD505-2E9C-101B-9397-08002B2CF9AE}" pid="5" name="owner">
    <vt:lpwstr>Founder &amp; Principal, Setti Group</vt:lpwstr>
  </property>
  <property fmtid="{D5CDD505-2E9C-101B-9397-08002B2CF9AE}" pid="6" name="summary">
    <vt:lpwstr>How long Setti Group keeps each category of record and personal data, and how it is securely disposed of when that period ends.</vt:lpwstr>
  </property>
  <property fmtid="{D5CDD505-2E9C-101B-9397-08002B2CF9AE}" pid="7" name="version">
    <vt:lpwstr>1.0</vt:lpwstr>
  </property>
</Properties>
</file>