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Health, Safety, Security and Environment Policy</w:t>
      </w:r>
    </w:p>
    <w:bookmarkStart w:id="20" w:name="purpose-and-scope"/>
    <w:p>
      <w:pPr>
        <w:pStyle w:val="Heading2"/>
      </w:pPr>
      <w:r>
        <w:t xml:space="preserve">Purpose and scope</w:t>
      </w:r>
    </w:p>
    <w:p>
      <w:pPr>
        <w:pStyle w:val="FirstParagraph"/>
      </w:pPr>
      <w:r>
        <w:t xml:space="preserve">Setti Group advises other organisations on health, safety, security and environment (HSSE). This policy sets the standards the Group holds itself to. It applies to Setti Group FZC (Sharjah Publishing City Free Zone, United Arab Emirates) and Setti Group Ltda (CNPJ 69.086.322/0001-00, Fortaleza, Ceará, Brazil; trade name SetFit), together</w:t>
      </w:r>
      <w:r>
        <w:t xml:space="preserve"> </w:t>
      </w:r>
      <w:r>
        <w:t xml:space="preserve">“</w:t>
      </w:r>
      <w:r>
        <w:t xml:space="preserve">Setti Group</w:t>
      </w:r>
      <w:r>
        <w:t xml:space="preserve">”</w:t>
      </w:r>
      <w:r>
        <w:t xml:space="preserve"> </w:t>
      </w:r>
      <w:r>
        <w:t xml:space="preserve">or</w:t>
      </w:r>
      <w:r>
        <w:t xml:space="preserve"> </w:t>
      </w:r>
      <w:r>
        <w:t xml:space="preserve">“</w:t>
      </w:r>
      <w:r>
        <w:t xml:space="preserve">the Group</w:t>
      </w:r>
      <w:r>
        <w:t xml:space="preserve">”</w:t>
      </w:r>
      <w:r>
        <w:t xml:space="preserve">.</w:t>
      </w:r>
    </w:p>
    <w:p>
      <w:pPr>
        <w:pStyle w:val="BodyText"/>
      </w:pPr>
      <w:r>
        <w:t xml:space="preserve">It covers everyone who works for or on behalf of the Group, wherever they work: in Group offices, remotely, while travelling and, above all, on client premises during audits, inspections, incident investigations, training courses and site visits. It also covers the Group’s own environmental footprint.</w:t>
      </w:r>
    </w:p>
    <w:bookmarkEnd w:id="20"/>
    <w:bookmarkStart w:id="21" w:name="policy-statement"/>
    <w:p>
      <w:pPr>
        <w:pStyle w:val="Heading2"/>
      </w:pPr>
      <w:r>
        <w:t xml:space="preserve">Policy statement</w:t>
      </w:r>
    </w:p>
    <w:p>
      <w:pPr>
        <w:pStyle w:val="FirstParagraph"/>
      </w:pPr>
      <w:r>
        <w:t xml:space="preserve">Nobody should be harmed by the work Setti Group does. The Group commits to:</w:t>
      </w:r>
    </w:p>
    <w:p>
      <w:pPr>
        <w:numPr>
          <w:ilvl w:val="0"/>
          <w:numId w:val="1001"/>
        </w:numPr>
        <w:pStyle w:val="Compact"/>
      </w:pPr>
      <w:r>
        <w:t xml:space="preserve">providing safe and healthy working conditions and preventing work-related injury and ill health;</w:t>
      </w:r>
    </w:p>
    <w:p>
      <w:pPr>
        <w:numPr>
          <w:ilvl w:val="0"/>
          <w:numId w:val="1001"/>
        </w:numPr>
        <w:pStyle w:val="Compact"/>
      </w:pPr>
      <w:r>
        <w:t xml:space="preserve">complying with applicable HSE law in every country where it works and with the site rules of every client it visits;</w:t>
      </w:r>
    </w:p>
    <w:p>
      <w:pPr>
        <w:numPr>
          <w:ilvl w:val="0"/>
          <w:numId w:val="1001"/>
        </w:numPr>
        <w:pStyle w:val="Compact"/>
      </w:pPr>
      <w:r>
        <w:t xml:space="preserve">applying the hierarchy of controls to its own risks before relying on PPE or behaviour;</w:t>
      </w:r>
    </w:p>
    <w:p>
      <w:pPr>
        <w:numPr>
          <w:ilvl w:val="0"/>
          <w:numId w:val="1001"/>
        </w:numPr>
        <w:pStyle w:val="Compact"/>
      </w:pPr>
      <w:r>
        <w:t xml:space="preserve">giving every person the authority and the duty to stop unsafe work, without fear of consequence;</w:t>
      </w:r>
    </w:p>
    <w:p>
      <w:pPr>
        <w:numPr>
          <w:ilvl w:val="0"/>
          <w:numId w:val="1001"/>
        </w:numPr>
        <w:pStyle w:val="Compact"/>
      </w:pPr>
      <w:r>
        <w:t xml:space="preserve">protecting the environment and preventing pollution in its own operations;</w:t>
      </w:r>
    </w:p>
    <w:p>
      <w:pPr>
        <w:numPr>
          <w:ilvl w:val="0"/>
          <w:numId w:val="1001"/>
        </w:numPr>
        <w:pStyle w:val="Compact"/>
      </w:pPr>
      <w:r>
        <w:t xml:space="preserve">consulting its people on HSE matters and continually improving.</w:t>
      </w:r>
    </w:p>
    <w:p>
      <w:pPr>
        <w:pStyle w:val="FirstParagraph"/>
      </w:pPr>
      <w:r>
        <w:t xml:space="preserve">The Group uses ISO 45001 and ISO 14001 as reference frameworks. It is not certified to either standard and does not claim to be.</w:t>
      </w:r>
    </w:p>
    <w:bookmarkEnd w:id="21"/>
    <w:bookmarkStart w:id="22" w:name="definitions"/>
    <w:p>
      <w:pPr>
        <w:pStyle w:val="Heading2"/>
      </w:pPr>
      <w:r>
        <w:t xml:space="preserve">Definitions</w:t>
      </w:r>
    </w:p>
    <w:p>
      <w:pPr>
        <w:numPr>
          <w:ilvl w:val="0"/>
          <w:numId w:val="1002"/>
        </w:numPr>
        <w:pStyle w:val="Compact"/>
      </w:pPr>
      <w:r>
        <w:rPr>
          <w:bCs/>
          <w:b/>
        </w:rPr>
        <w:t xml:space="preserve">Hierarchy of controls</w:t>
      </w:r>
      <w:r>
        <w:t xml:space="preserve">: elimination, substitution, engineering controls, administrative controls, personal protective equipment (PPE), in that order of preference.</w:t>
      </w:r>
    </w:p>
    <w:p>
      <w:pPr>
        <w:numPr>
          <w:ilvl w:val="0"/>
          <w:numId w:val="1002"/>
        </w:numPr>
        <w:pStyle w:val="Compact"/>
      </w:pPr>
      <w:r>
        <w:rPr>
          <w:bCs/>
          <w:b/>
        </w:rPr>
        <w:t xml:space="preserve">Stop-work authority</w:t>
      </w:r>
      <w:r>
        <w:t xml:space="preserve">: the right and duty of any person to halt an activity they consider unsafe until the concern is resolved.</w:t>
      </w:r>
    </w:p>
    <w:p>
      <w:pPr>
        <w:numPr>
          <w:ilvl w:val="0"/>
          <w:numId w:val="1002"/>
        </w:numPr>
        <w:pStyle w:val="Compact"/>
      </w:pPr>
      <w:r>
        <w:rPr>
          <w:bCs/>
          <w:b/>
        </w:rPr>
        <w:t xml:space="preserve">Journey risk</w:t>
      </w:r>
      <w:r>
        <w:t xml:space="preserve">: risk arising from travel to and from work locations, including driving, flights and travel in unfamiliar or high-risk areas.</w:t>
      </w:r>
    </w:p>
    <w:p>
      <w:pPr>
        <w:numPr>
          <w:ilvl w:val="0"/>
          <w:numId w:val="1002"/>
        </w:numPr>
        <w:pStyle w:val="Compact"/>
      </w:pPr>
      <w:r>
        <w:rPr>
          <w:bCs/>
          <w:b/>
        </w:rPr>
        <w:t xml:space="preserve">Incident</w:t>
      </w:r>
      <w:r>
        <w:t xml:space="preserve">: any event that caused, or could have caused, injury, ill health, environmental damage, property damage or security harm, including near misses.</w:t>
      </w:r>
    </w:p>
    <w:p>
      <w:pPr>
        <w:numPr>
          <w:ilvl w:val="0"/>
          <w:numId w:val="1002"/>
        </w:numPr>
        <w:pStyle w:val="Compact"/>
      </w:pPr>
      <w:r>
        <w:rPr>
          <w:bCs/>
          <w:b/>
        </w:rPr>
        <w:t xml:space="preserve">Client site</w:t>
      </w:r>
      <w:r>
        <w:t xml:space="preserve">: any premises, plant or field location controlled by a client or third party where Group personnel work.</w:t>
      </w:r>
    </w:p>
    <w:bookmarkEnd w:id="22"/>
    <w:bookmarkStart w:id="23" w:name="responsibilities"/>
    <w:p>
      <w:pPr>
        <w:pStyle w:val="Heading2"/>
      </w:pPr>
      <w:r>
        <w:t xml:space="preserve">Responsibilities</w:t>
      </w:r>
    </w:p>
    <w:p>
      <w:pPr>
        <w:pStyle w:val="FirstParagraph"/>
      </w:pPr>
      <w:r>
        <w:rPr>
          <w:bCs/>
          <w:b/>
        </w:rPr>
        <w:t xml:space="preserve">Founder &amp; Principal</w:t>
      </w:r>
      <w:r>
        <w:t xml:space="preserve"> </w:t>
      </w:r>
      <w:r>
        <w:t xml:space="preserve">owns this policy, sets HSE objectives, approves risk assessments for new types of work, allocates resources, leads incident investigations and reports HSE performance in the annual review. He is the escalation point for any stop-work decision a client disputes.</w:t>
      </w:r>
    </w:p>
    <w:p>
      <w:pPr>
        <w:pStyle w:val="BodyText"/>
      </w:pPr>
      <w:r>
        <w:rPr>
          <w:bCs/>
          <w:b/>
        </w:rPr>
        <w:t xml:space="preserve">All personnel</w:t>
      </w:r>
      <w:r>
        <w:t xml:space="preserve"> </w:t>
      </w:r>
      <w:r>
        <w:t xml:space="preserve">(employees, associates, subcontracted trainers and specialists) follow this policy and client site rules, complete the site induction before starting, wear the PPE specified, report incidents and near misses on the day they occur, and exercise stop-work authority when needed.</w:t>
      </w:r>
    </w:p>
    <w:p>
      <w:pPr>
        <w:pStyle w:val="BodyText"/>
      </w:pPr>
      <w:r>
        <w:rPr>
          <w:bCs/>
          <w:b/>
        </w:rPr>
        <w:t xml:space="preserve">Clients</w:t>
      </w:r>
      <w:r>
        <w:t xml:space="preserve"> </w:t>
      </w:r>
      <w:r>
        <w:t xml:space="preserve">are asked to provide site inductions, hazard information, an emergency contact and, where applicable, an escort. Where a client cannot, the Founder &amp; Principal decides whether the visit proceeds.</w:t>
      </w:r>
    </w:p>
    <w:bookmarkEnd w:id="23"/>
    <w:bookmarkStart w:id="24" w:name="requirements"/>
    <w:p>
      <w:pPr>
        <w:pStyle w:val="Heading2"/>
      </w:pPr>
      <w:r>
        <w:t xml:space="preserve">Requirements</w:t>
      </w:r>
    </w:p>
    <w:p>
      <w:pPr>
        <w:numPr>
          <w:ilvl w:val="0"/>
          <w:numId w:val="1003"/>
        </w:numPr>
        <w:pStyle w:val="Compact"/>
      </w:pPr>
      <w:r>
        <w:rPr>
          <w:bCs/>
          <w:b/>
        </w:rPr>
        <w:t xml:space="preserve">Risk assessment before work.</w:t>
      </w:r>
      <w:r>
        <w:t xml:space="preserve"> </w:t>
      </w:r>
      <w:r>
        <w:t xml:space="preserve">Every engagement involving site work is risk assessed before the first visit, covering the activities to be performed, the site’s known hazards (process, height, confined spaces, energised systems, traffic, heat), journey risk and security. The assessment is recorded and reviewed at each material change of scope.</w:t>
      </w:r>
    </w:p>
    <w:p>
      <w:pPr>
        <w:numPr>
          <w:ilvl w:val="0"/>
          <w:numId w:val="1003"/>
        </w:numPr>
        <w:pStyle w:val="Compact"/>
      </w:pPr>
      <w:r>
        <w:rPr>
          <w:bCs/>
          <w:b/>
        </w:rPr>
        <w:t xml:space="preserve">Hierarchy of controls.</w:t>
      </w:r>
      <w:r>
        <w:t xml:space="preserve"> </w:t>
      </w:r>
      <w:r>
        <w:t xml:space="preserve">Controls are selected in the order elimination, substitution, engineering, administrative, PPE. Remote review of documents replaces site presence where it delivers the same result. PPE is never the only control for a significant hazard.</w:t>
      </w:r>
    </w:p>
    <w:p>
      <w:pPr>
        <w:numPr>
          <w:ilvl w:val="0"/>
          <w:numId w:val="1003"/>
        </w:numPr>
        <w:pStyle w:val="Compact"/>
      </w:pPr>
      <w:r>
        <w:rPr>
          <w:bCs/>
          <w:b/>
        </w:rPr>
        <w:t xml:space="preserve">Client site rules.</w:t>
      </w:r>
      <w:r>
        <w:t xml:space="preserve"> </w:t>
      </w:r>
      <w:r>
        <w:t xml:space="preserve">Group personnel comply with the client’s permit-to-work, lock-out/tag-out, PPE, access, vehicle and emergency rules. Where Group standards are stricter, Group standards apply to Group personnel. Personnel do not enter confined spaces, work at height or handle energised or pressurised equipment as part of consulting work; observation is done from a safe position.</w:t>
      </w:r>
    </w:p>
    <w:p>
      <w:pPr>
        <w:numPr>
          <w:ilvl w:val="0"/>
          <w:numId w:val="1003"/>
        </w:numPr>
        <w:pStyle w:val="Compact"/>
      </w:pPr>
      <w:r>
        <w:rPr>
          <w:bCs/>
          <w:b/>
        </w:rPr>
        <w:t xml:space="preserve">Stop-work authority.</w:t>
      </w:r>
      <w:r>
        <w:t xml:space="preserve"> </w:t>
      </w:r>
      <w:r>
        <w:t xml:space="preserve">Any Group person may stop their own work, and may recommend that client work be stopped, when they judge an activity unsafe. No one is penalised for a good-faith stop-work decision. Stop-work events are recorded and reviewed by the Founder &amp; Principal within five working days.</w:t>
      </w:r>
    </w:p>
    <w:p>
      <w:pPr>
        <w:numPr>
          <w:ilvl w:val="0"/>
          <w:numId w:val="1003"/>
        </w:numPr>
        <w:pStyle w:val="Compact"/>
      </w:pPr>
      <w:r>
        <w:rPr>
          <w:bCs/>
          <w:b/>
        </w:rPr>
        <w:t xml:space="preserve">Journey and travel risk.</w:t>
      </w:r>
      <w:r>
        <w:t xml:space="preserve"> </w:t>
      </w:r>
      <w:r>
        <w:t xml:space="preserve">Before travel, personnel check destination advisories, confirm accommodation and ground transport, and share an itinerary with a nominated contact. Driving is limited to ten hours in any day with a break at least every two hours; night driving on unlit rural roads is avoided; drivers do not use phones while the vehicle is moving. For travel to unfamiliar regions, personnel keep a check-in schedule with the Founder &amp; Principal.</w:t>
      </w:r>
    </w:p>
    <w:p>
      <w:pPr>
        <w:numPr>
          <w:ilvl w:val="0"/>
          <w:numId w:val="1003"/>
        </w:numPr>
        <w:pStyle w:val="Compact"/>
      </w:pPr>
      <w:r>
        <w:rPr>
          <w:bCs/>
          <w:b/>
        </w:rPr>
        <w:t xml:space="preserve">Heat stress in the Gulf.</w:t>
      </w:r>
      <w:r>
        <w:t xml:space="preserve"> </w:t>
      </w:r>
      <w:r>
        <w:t xml:space="preserve">During the UAE midday work ban (published annually by the Ministry of Human Resources and Emiratisation), outdoor site work is scheduled outside the banned hours. At any time of year, outdoor work in direct sun or above 38 °C wet-bulb globe temperature equivalent is limited to short observation windows with shaded rest, hydration every 20 minutes and a work/rest schedule agreed with the client. Personnel are briefed on the signs of heat exhaustion and heat stroke; anyone showing symptoms stops work immediately.</w:t>
      </w:r>
    </w:p>
    <w:p>
      <w:pPr>
        <w:numPr>
          <w:ilvl w:val="0"/>
          <w:numId w:val="1003"/>
        </w:numPr>
        <w:pStyle w:val="Compact"/>
      </w:pPr>
      <w:r>
        <w:rPr>
          <w:bCs/>
          <w:b/>
        </w:rPr>
        <w:t xml:space="preserve">Fitness for work.</w:t>
      </w:r>
      <w:r>
        <w:t xml:space="preserve"> </w:t>
      </w:r>
      <w:r>
        <w:t xml:space="preserve">Personnel do not carry out site work when fatigued, unwell or under the influence of alcohol, drugs or medication that impairs alertness. In Brazil, occupational health monitoring follows NR-7 (PCMSO) for Setti Group Ltda employees.</w:t>
      </w:r>
    </w:p>
    <w:p>
      <w:pPr>
        <w:numPr>
          <w:ilvl w:val="0"/>
          <w:numId w:val="1003"/>
        </w:numPr>
        <w:pStyle w:val="Compact"/>
      </w:pPr>
      <w:r>
        <w:rPr>
          <w:bCs/>
          <w:b/>
        </w:rPr>
        <w:t xml:space="preserve">Security.</w:t>
      </w:r>
      <w:r>
        <w:t xml:space="preserve"> </w:t>
      </w:r>
      <w:r>
        <w:t xml:space="preserve">Personnel comply with client security rules and do not photograph or record on client sites without written permission. Visits to areas with elevated security risk require a specific security assessment and, where needed, client-provided escort or transport.</w:t>
      </w:r>
    </w:p>
    <w:p>
      <w:pPr>
        <w:numPr>
          <w:ilvl w:val="0"/>
          <w:numId w:val="1003"/>
        </w:numPr>
        <w:pStyle w:val="Compact"/>
      </w:pPr>
      <w:r>
        <w:rPr>
          <w:bCs/>
          <w:b/>
        </w:rPr>
        <w:t xml:space="preserve">Incident reporting.</w:t>
      </w:r>
      <w:r>
        <w:t xml:space="preserve"> </w:t>
      </w:r>
      <w:r>
        <w:t xml:space="preserve">All incidents, including near misses and unsafe conditions observed, are reported to the Founder &amp; Principal on the day they occur and recorded in the Group incident log within 48 hours. Incidents on client sites are also reported through the client’s system. Injuries requiring medical treatment and any environmental release are investigated with a written root-cause analysis within 15 working days; corrective actions are tracked to closure.</w:t>
      </w:r>
    </w:p>
    <w:p>
      <w:pPr>
        <w:numPr>
          <w:ilvl w:val="0"/>
          <w:numId w:val="1003"/>
        </w:numPr>
        <w:pStyle w:val="Compact"/>
      </w:pPr>
      <w:r>
        <w:rPr>
          <w:bCs/>
          <w:b/>
        </w:rPr>
        <w:t xml:space="preserve">Legal compliance.</w:t>
      </w:r>
      <w:r>
        <w:t xml:space="preserve"> </w:t>
      </w:r>
      <w:r>
        <w:t xml:space="preserve">In the UAE, the Group complies with Federal Decree-Law No. 33/2021 (Labour Law) and its occupational safety regulations. In Brazil, Setti Group Ltda complies with the CLT (Decreto-Lei 5.452/1943) and the regulatory standards, in particular NR-1 (risk management programme, PGR) and NR-7 (occupational health). Legal changes are tracked in the annual review.</w:t>
      </w:r>
    </w:p>
    <w:p>
      <w:pPr>
        <w:numPr>
          <w:ilvl w:val="0"/>
          <w:numId w:val="1003"/>
        </w:numPr>
        <w:pStyle w:val="Compact"/>
      </w:pPr>
      <w:r>
        <w:rPr>
          <w:bCs/>
          <w:b/>
        </w:rPr>
        <w:t xml:space="preserve">Training and competence.</w:t>
      </w:r>
      <w:r>
        <w:t xml:space="preserve"> </w:t>
      </w:r>
      <w:r>
        <w:t xml:space="preserve">Site work is carried out only by people whose competence has been verified under the Training and Competence Policy. Personnel hold a valid first-aid certificate where the client or the work requires it.</w:t>
      </w:r>
    </w:p>
    <w:p>
      <w:pPr>
        <w:numPr>
          <w:ilvl w:val="0"/>
          <w:numId w:val="1003"/>
        </w:numPr>
        <w:pStyle w:val="Compact"/>
      </w:pPr>
      <w:r>
        <w:rPr>
          <w:bCs/>
          <w:b/>
        </w:rPr>
        <w:t xml:space="preserve">Environment.</w:t>
      </w:r>
      <w:r>
        <w:t xml:space="preserve"> </w:t>
      </w:r>
      <w:r>
        <w:t xml:space="preserve">The Group defaults to remote meetings where they serve the purpose, consolidates travel, avoids printing, chooses cloud providers with published renewable-energy commitments for Arcas GRC and SetFit, and disposes of electronic equipment through licensed recyclers. In consulting work, it does not recommend controls that transfer risk from workers to the environment or the community.</w:t>
      </w:r>
    </w:p>
    <w:p>
      <w:pPr>
        <w:numPr>
          <w:ilvl w:val="0"/>
          <w:numId w:val="1003"/>
        </w:numPr>
        <w:pStyle w:val="Compact"/>
      </w:pPr>
      <w:r>
        <w:rPr>
          <w:bCs/>
          <w:b/>
        </w:rPr>
        <w:t xml:space="preserve">Emergency preparedness.</w:t>
      </w:r>
      <w:r>
        <w:t xml:space="preserve"> </w:t>
      </w:r>
      <w:r>
        <w:t xml:space="preserve">Before each site visit, personnel confirm the client’s emergency procedures, muster points and first-aid facilities. The Group keeps an emergency contact card for each person on site work.</w:t>
      </w:r>
    </w:p>
    <w:p>
      <w:pPr>
        <w:numPr>
          <w:ilvl w:val="0"/>
          <w:numId w:val="1003"/>
        </w:numPr>
        <w:pStyle w:val="Compact"/>
      </w:pPr>
      <w:r>
        <w:rPr>
          <w:bCs/>
          <w:b/>
        </w:rPr>
        <w:t xml:space="preserve">Consultation and performance.</w:t>
      </w:r>
      <w:r>
        <w:t xml:space="preserve"> </w:t>
      </w:r>
      <w:r>
        <w:t xml:space="preserve">HSE is a standing item in the monthly operations review. The Group tracks site days, incidents, near misses, stop-work events, training days delivered and open corrective actions, and reviews them annually.</w:t>
      </w:r>
    </w:p>
    <w:bookmarkEnd w:id="24"/>
    <w:bookmarkStart w:id="25" w:name="reporting-breaches-and-consequences"/>
    <w:p>
      <w:pPr>
        <w:pStyle w:val="Heading2"/>
      </w:pPr>
      <w:r>
        <w:t xml:space="preserve">Reporting, breaches and consequences</w:t>
      </w:r>
    </w:p>
    <w:p>
      <w:pPr>
        <w:pStyle w:val="FirstParagraph"/>
      </w:pPr>
      <w:r>
        <w:t xml:space="preserve">Any person may report an HSE concern, incident or breach of this policy to the Founder &amp; Principal, to arildo@settigroup.com. Reports may also be made by post to the registered address. Reports may be anonymous and are treated confidentially. No one suffers retaliation for a good-faith report or for exercising stop-work authority.</w:t>
      </w:r>
    </w:p>
    <w:p>
      <w:pPr>
        <w:pStyle w:val="BodyText"/>
      </w:pPr>
      <w:r>
        <w:t xml:space="preserve">Breaches, including failure to report an incident, disregard of client site rules or driving while using a phone, are disciplinary matters. Depending on severity, consequences range from retraining to termination of employment or of an associate or subcontractor agreement. Where a breach also breaches client rules or the law, the Group cooperates fully with the client and the authorities.</w:t>
      </w:r>
    </w:p>
    <w:bookmarkEnd w:id="25"/>
    <w:bookmarkStart w:id="26" w:name="related-policies-and-references"/>
    <w:p>
      <w:pPr>
        <w:pStyle w:val="Heading2"/>
      </w:pPr>
      <w:r>
        <w:t xml:space="preserve">Related policies and references</w:t>
      </w:r>
    </w:p>
    <w:p>
      <w:pPr>
        <w:numPr>
          <w:ilvl w:val="0"/>
          <w:numId w:val="1004"/>
        </w:numPr>
        <w:pStyle w:val="Compact"/>
      </w:pPr>
      <w:r>
        <w:t xml:space="preserve">Training and Competence Policy</w:t>
      </w:r>
    </w:p>
    <w:p>
      <w:pPr>
        <w:numPr>
          <w:ilvl w:val="0"/>
          <w:numId w:val="1004"/>
        </w:numPr>
        <w:pStyle w:val="Compact"/>
      </w:pPr>
      <w:r>
        <w:t xml:space="preserve">Quality and Continuous Improvement Policy</w:t>
      </w:r>
    </w:p>
    <w:p>
      <w:pPr>
        <w:numPr>
          <w:ilvl w:val="0"/>
          <w:numId w:val="1004"/>
        </w:numPr>
        <w:pStyle w:val="Compact"/>
      </w:pPr>
      <w:r>
        <w:t xml:space="preserve">Subcontracting and Specialist Partner Policy</w:t>
      </w:r>
    </w:p>
    <w:p>
      <w:pPr>
        <w:numPr>
          <w:ilvl w:val="0"/>
          <w:numId w:val="1004"/>
        </w:numPr>
        <w:pStyle w:val="Compact"/>
      </w:pPr>
      <w:r>
        <w:t xml:space="preserve">Business Continuity Policy</w:t>
      </w:r>
    </w:p>
    <w:p>
      <w:pPr>
        <w:numPr>
          <w:ilvl w:val="0"/>
          <w:numId w:val="1004"/>
        </w:numPr>
        <w:pStyle w:val="Compact"/>
      </w:pPr>
      <w:r>
        <w:t xml:space="preserve">Human Rights and Labour Standards Policy</w:t>
      </w:r>
    </w:p>
    <w:p>
      <w:pPr>
        <w:numPr>
          <w:ilvl w:val="0"/>
          <w:numId w:val="1004"/>
        </w:numPr>
        <w:pStyle w:val="Compact"/>
      </w:pPr>
      <w:r>
        <w:t xml:space="preserve">Code of Conduct</w:t>
      </w:r>
    </w:p>
    <w:p>
      <w:pPr>
        <w:numPr>
          <w:ilvl w:val="0"/>
          <w:numId w:val="1004"/>
        </w:numPr>
        <w:pStyle w:val="Compact"/>
      </w:pPr>
      <w:r>
        <w:t xml:space="preserve">Whistleblowing Policy</w:t>
      </w:r>
    </w:p>
    <w:p>
      <w:pPr>
        <w:numPr>
          <w:ilvl w:val="0"/>
          <w:numId w:val="1004"/>
        </w:numPr>
        <w:pStyle w:val="Compact"/>
      </w:pPr>
      <w:r>
        <w:t xml:space="preserve">ISO 45001 and ISO 14001 (reference frameworks; the Group is not certified)</w:t>
      </w:r>
    </w:p>
    <w:p>
      <w:pPr>
        <w:numPr>
          <w:ilvl w:val="0"/>
          <w:numId w:val="1004"/>
        </w:numPr>
        <w:pStyle w:val="Compact"/>
      </w:pPr>
      <w:r>
        <w:t xml:space="preserve">UAE Federal Decree-Law No. 33/2021 (Labour Law)</w:t>
      </w:r>
    </w:p>
    <w:p>
      <w:pPr>
        <w:numPr>
          <w:ilvl w:val="0"/>
          <w:numId w:val="1004"/>
        </w:numPr>
        <w:pStyle w:val="Compact"/>
      </w:pPr>
      <w:r>
        <w:t xml:space="preserve">Brazil: CLT (Decreto-Lei 5.452/1943), NR-1, NR-7</w:t>
      </w:r>
    </w:p>
    <w:bookmarkEnd w:id="26"/>
    <w:bookmarkStart w:id="27" w:name="review-and-approval"/>
    <w:p>
      <w:pPr>
        <w:pStyle w:val="Heading2"/>
      </w:pPr>
      <w:r>
        <w:t xml:space="preserve">Review and approval</w:t>
      </w:r>
    </w:p>
    <w:p>
      <w:pPr>
        <w:pStyle w:val="FirstParagraph"/>
      </w:pPr>
      <w:r>
        <w:t xml:space="preserve">Version 1.0, effective 1 October 2026. Approved by the Founder &amp; Principal, Setti Group. Reviewed annually or on any material change of law, of the Group’s activities, or following a serious incident. Questions go to arildo@settigroup.com.</w:t>
      </w:r>
    </w:p>
    <w:p>
      <w:pPr>
        <w:pStyle w:val="BlockText"/>
      </w:pPr>
      <w:r>
        <w:t xml:space="preserve">Draft prepared for legal review. Not effective until approved and signed.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Safety, Security and Environment Policy</dc:title>
  <dc:creator/>
  <dc:language>en</dc:language>
  <cp:keywords/>
  <dcterms:created xsi:type="dcterms:W3CDTF">2026-09-28T13:23:12Z</dcterms:created>
  <dcterms:modified xsi:type="dcterms:W3CDTF">2026-09-28T13:23:12Z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hse-policy</vt:lpwstr>
  </property>
  <property fmtid="{D5CDD505-2E9C-101B-9397-08002B2CF9AE}" pid="5" name="owner">
    <vt:lpwstr>Founder &amp; Principal, Setti Group</vt:lpwstr>
  </property>
  <property fmtid="{D5CDD505-2E9C-101B-9397-08002B2CF9AE}" pid="6" name="summary">
    <vt:lpwstr>Sets out Setti Group’s own commitments to protect the health, safety and security of its people and the environment, as an employer and as a consultancy working on client sites in the Gulf, Brazil and elsewhere.</vt:lpwstr>
  </property>
  <property fmtid="{D5CDD505-2E9C-101B-9397-08002B2CF9AE}" pid="7" name="version">
    <vt:lpwstr>1.0</vt:lpwstr>
  </property>
</Properties>
</file>