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Política de Direitos Humanos e Normas Trabalhistas</w:t>
      </w:r>
    </w:p>
    <w:bookmarkStart w:id="20" w:name="finalidade-e-abrangência"/>
    <w:p>
      <w:pPr>
        <w:pStyle w:val="Heading2"/>
      </w:pPr>
      <w:r>
        <w:t xml:space="preserve">Finalidade e abrangência</w:t>
      </w:r>
    </w:p>
    <w:p>
      <w:pPr>
        <w:pStyle w:val="FirstParagraph"/>
      </w:pPr>
      <w:r>
        <w:t xml:space="preserve">Esta política declara como o Setti Group respeita os direitos humanos e as normas trabalhistas em seu próprio trabalho e o que espera das pessoas e empresas com as quais trabalha. Aplica-se à Setti Group FZC (Sharjah Publishing City Free Zone, Emirados Árabes Unidos) e à Setti Group Ltda (CNPJ 69.086.322/0001-00, Fortaleza, Ceará, Brasil; nome fantasia SetFit), em conjunto</w:t>
      </w:r>
      <w:r>
        <w:t xml:space="preserve"> </w:t>
      </w:r>
      <w:r>
        <w:t xml:space="preserve">“</w:t>
      </w:r>
      <w:r>
        <w:t xml:space="preserve">Setti Group</w:t>
      </w:r>
      <w:r>
        <w:t xml:space="preserve">”</w:t>
      </w:r>
      <w:r>
        <w:t xml:space="preserve"> </w:t>
      </w:r>
      <w:r>
        <w:t xml:space="preserve">ou</w:t>
      </w:r>
      <w:r>
        <w:t xml:space="preserve"> </w:t>
      </w:r>
      <w:r>
        <w:t xml:space="preserve">“</w:t>
      </w:r>
      <w:r>
        <w:t xml:space="preserve">o Grupo</w:t>
      </w:r>
      <w:r>
        <w:t xml:space="preserve">”</w:t>
      </w:r>
      <w:r>
        <w:t xml:space="preserve">.</w:t>
      </w:r>
    </w:p>
    <w:p>
      <w:pPr>
        <w:pStyle w:val="BodyText"/>
      </w:pPr>
      <w:r>
        <w:t xml:space="preserve">Abrange os empregados, associados e subcontratados do Grupo; seus fornecedores de bens e serviços; e as contrapartes em sua intermediação de comércio de commodities, incluindo a parceira comercial BS Agrícola Ltda (Londrina, PR) e os produtores, compradores, operadores logísticos e agentes envolvidos nessas transações. Abrange também a forma como a orientação de consultoria do Grupo e suas plataformas de software, Arcas GRC e SetFit, afetam os direitos de trabalhadores e usuários.</w:t>
      </w:r>
    </w:p>
    <w:p>
      <w:pPr>
        <w:pStyle w:val="BodyText"/>
      </w:pPr>
      <w:r>
        <w:t xml:space="preserve">Esta política serve também como declaração do Grupo sobre escravidão moderna e tráfico de pessoas.</w:t>
      </w:r>
    </w:p>
    <w:bookmarkEnd w:id="20"/>
    <w:bookmarkStart w:id="21" w:name="declaração-da-política"/>
    <w:p>
      <w:pPr>
        <w:pStyle w:val="Heading2"/>
      </w:pPr>
      <w:r>
        <w:t xml:space="preserve">Declaração da política</w:t>
      </w:r>
    </w:p>
    <w:p>
      <w:pPr>
        <w:pStyle w:val="FirstParagraph"/>
      </w:pPr>
      <w:r>
        <w:t xml:space="preserve">O Setti Group respeita os direitos humanos estabelecidos na Carta Internacional dos Direitos Humanos e na Declaração da OIT sobre os Princípios e Direitos Fundamentais no Trabalho, e aplica os Princípios Orientadores das Nações Unidas sobre Empresas e Direitos Humanos. O Grupo não utiliza, e não se beneficiará conscientemente de, trabalho forçado, trabalho em servidão por dívida, trabalho infantil ou tráfico de pessoas em qualquer ponto de suas operações ou cadeia de suprimentos. Trata todos que trabalham para ele com dignidade, paga de forma justa e pontual, respeita os limites de jornada e não discrimina.</w:t>
      </w:r>
    </w:p>
    <w:p>
      <w:pPr>
        <w:pStyle w:val="BodyText"/>
      </w:pPr>
      <w:r>
        <w:t xml:space="preserve">Quando a lei nacional e as normas internacionais divergirem, o Grupo cumpre a lei e aplica o padrão mais elevado sempre que puder fazê-lo legalmente. Quando o Grupo tomar conhecimento de que um parceiro ou contraparte está causando ou contribuindo para uma violação de direitos humanos, usa sua influência para cessar a violação e, se não conseguir, encerra a relação.</w:t>
      </w:r>
    </w:p>
    <w:bookmarkEnd w:id="21"/>
    <w:bookmarkStart w:id="22" w:name="definições"/>
    <w:p>
      <w:pPr>
        <w:pStyle w:val="Heading2"/>
      </w:pPr>
      <w:r>
        <w:t xml:space="preserve">Definições</w:t>
      </w:r>
    </w:p>
    <w:p>
      <w:pPr>
        <w:numPr>
          <w:ilvl w:val="0"/>
          <w:numId w:val="1001"/>
        </w:numPr>
        <w:pStyle w:val="Compact"/>
      </w:pPr>
      <w:r>
        <w:rPr>
          <w:bCs/>
          <w:b/>
        </w:rPr>
        <w:t xml:space="preserve">Trabalho forçado</w:t>
      </w:r>
      <w:r>
        <w:t xml:space="preserve">: qualquer trabalho exigido sob ameaça de penalidade e para o qual a pessoa não se ofereceu voluntariamente, incluindo trabalho obtido por dívida, retenção de documentos de identidade ou taxas de recrutamento não reembolsadas cobradas do trabalhador.</w:t>
      </w:r>
    </w:p>
    <w:p>
      <w:pPr>
        <w:numPr>
          <w:ilvl w:val="0"/>
          <w:numId w:val="1001"/>
        </w:numPr>
        <w:pStyle w:val="Compact"/>
      </w:pPr>
      <w:r>
        <w:rPr>
          <w:bCs/>
          <w:b/>
        </w:rPr>
        <w:t xml:space="preserve">Trabalho infantil</w:t>
      </w:r>
      <w:r>
        <w:t xml:space="preserve">: trabalho de qualquer pessoa com menos de 15 anos, ou abaixo da idade mínima superior fixada pela lei local, e qualquer trabalho perigoso por pessoa com menos de 18 anos.</w:t>
      </w:r>
    </w:p>
    <w:p>
      <w:pPr>
        <w:numPr>
          <w:ilvl w:val="0"/>
          <w:numId w:val="1001"/>
        </w:numPr>
        <w:pStyle w:val="Compact"/>
      </w:pPr>
      <w:r>
        <w:rPr>
          <w:bCs/>
          <w:b/>
        </w:rPr>
        <w:t xml:space="preserve">Escravidão moderna</w:t>
      </w:r>
      <w:r>
        <w:t xml:space="preserve">: trabalho forçado, servidão por dívida, servidão e tráfico de pessoas.</w:t>
      </w:r>
    </w:p>
    <w:p>
      <w:pPr>
        <w:numPr>
          <w:ilvl w:val="0"/>
          <w:numId w:val="1001"/>
        </w:numPr>
        <w:pStyle w:val="Compact"/>
      </w:pPr>
      <w:r>
        <w:rPr>
          <w:bCs/>
          <w:b/>
        </w:rPr>
        <w:t xml:space="preserve">Contraparte</w:t>
      </w:r>
      <w:r>
        <w:t xml:space="preserve">: qualquer parte em transação de commodities intermediada pelo Grupo, bem como os agentes e prestadores de serviço nela envolvidos.</w:t>
      </w:r>
    </w:p>
    <w:p>
      <w:pPr>
        <w:numPr>
          <w:ilvl w:val="0"/>
          <w:numId w:val="1001"/>
        </w:numPr>
        <w:pStyle w:val="Compact"/>
      </w:pPr>
      <w:r>
        <w:rPr>
          <w:bCs/>
          <w:b/>
        </w:rPr>
        <w:t xml:space="preserve">Queixa</w:t>
      </w:r>
      <w:r>
        <w:t xml:space="preserve">: qualquer reclamação sobre tratamento, remuneração, condições ou direitos apresentada por trabalhador, parceiro ou pessoa afetada.</w:t>
      </w:r>
    </w:p>
    <w:bookmarkEnd w:id="22"/>
    <w:bookmarkStart w:id="23" w:name="responsabilidades"/>
    <w:p>
      <w:pPr>
        <w:pStyle w:val="Heading2"/>
      </w:pPr>
      <w:r>
        <w:t xml:space="preserve">Responsabilidades</w:t>
      </w:r>
    </w:p>
    <w:p>
      <w:pPr>
        <w:pStyle w:val="FirstParagraph"/>
      </w:pPr>
      <w:r>
        <w:t xml:space="preserve">O</w:t>
      </w:r>
      <w:r>
        <w:t xml:space="preserve"> </w:t>
      </w:r>
      <w:r>
        <w:rPr>
          <w:bCs/>
          <w:b/>
        </w:rPr>
        <w:t xml:space="preserve">Fundador e Diretor</w:t>
      </w:r>
      <w:r>
        <w:t xml:space="preserve"> </w:t>
      </w:r>
      <w:r>
        <w:t xml:space="preserve">é o responsável por esta política, aprova novos subcontratados, fornecedores e contrapartes comerciais após diligência prévia, trata as queixas, decide sobre a reparação e sobre o encerramento de relações, e relata sobre esta política na análise crítica anual.</w:t>
      </w:r>
    </w:p>
    <w:p>
      <w:pPr>
        <w:pStyle w:val="BodyText"/>
      </w:pPr>
      <w:r>
        <w:rPr>
          <w:bCs/>
          <w:b/>
        </w:rPr>
        <w:t xml:space="preserve">Todo o pessoal</w:t>
      </w:r>
      <w:r>
        <w:t xml:space="preserve"> </w:t>
      </w:r>
      <w:r>
        <w:t xml:space="preserve">deve tratar colegas, funcionários de clientes, participantes de cursos, usuários e contrapartes com respeito, recusar-se a participar de qualquer prática descrita nesta política como proibida e comunicar preocupações.</w:t>
      </w:r>
    </w:p>
    <w:p>
      <w:pPr>
        <w:pStyle w:val="BodyText"/>
      </w:pPr>
      <w:r>
        <w:rPr>
          <w:bCs/>
          <w:b/>
        </w:rPr>
        <w:t xml:space="preserve">Subcontratados, fornecedores e contrapartes</w:t>
      </w:r>
      <w:r>
        <w:t xml:space="preserve"> </w:t>
      </w:r>
      <w:r>
        <w:t xml:space="preserve">devem atender aos padrões dos requisitos 9 a 12 e permitir ao Grupo acesso razoável para verificá-los.</w:t>
      </w:r>
    </w:p>
    <w:bookmarkEnd w:id="23"/>
    <w:bookmarkStart w:id="24" w:name="requisitos"/>
    <w:p>
      <w:pPr>
        <w:pStyle w:val="Heading2"/>
      </w:pPr>
      <w:r>
        <w:t xml:space="preserve">Requisitos</w:t>
      </w:r>
    </w:p>
    <w:p>
      <w:pPr>
        <w:numPr>
          <w:ilvl w:val="0"/>
          <w:numId w:val="1002"/>
        </w:numPr>
        <w:pStyle w:val="Compact"/>
      </w:pPr>
      <w:r>
        <w:rPr>
          <w:bCs/>
          <w:b/>
        </w:rPr>
        <w:t xml:space="preserve">Nenhum trabalho forçado.</w:t>
      </w:r>
      <w:r>
        <w:t xml:space="preserve"> </w:t>
      </w:r>
      <w:r>
        <w:t xml:space="preserve">Ninguém que trabalhe para o Grupo é obrigado a pagar taxas de recrutamento, depositar cauções ou entregar documentos de identidade. Todos são livres para deixar seu emprego ou contrato mediante aviso prévio razoável. O Grupo arca com os custos de visto e autorização de trabalho de seus empregados nos EAU, conforme exige o Decreto-Lei Federal nº 33/2021.</w:t>
      </w:r>
    </w:p>
    <w:p>
      <w:pPr>
        <w:numPr>
          <w:ilvl w:val="0"/>
          <w:numId w:val="1002"/>
        </w:numPr>
        <w:pStyle w:val="Compact"/>
      </w:pPr>
      <w:r>
        <w:rPr>
          <w:bCs/>
          <w:b/>
        </w:rPr>
        <w:t xml:space="preserve">Nenhum trabalho infantil.</w:t>
      </w:r>
      <w:r>
        <w:t xml:space="preserve"> </w:t>
      </w:r>
      <w:r>
        <w:t xml:space="preserve">O Grupo não emprega menores de 18 anos. Estagiários e aprendizes, quando houver, são contratados conforme a Lei do Trabalho dos EAU ou as disposições da CLT e da Lei da Aprendizagem no Brasil, e nunca em trabalho perigoso.</w:t>
      </w:r>
    </w:p>
    <w:p>
      <w:pPr>
        <w:numPr>
          <w:ilvl w:val="0"/>
          <w:numId w:val="1002"/>
        </w:numPr>
        <w:pStyle w:val="Compact"/>
      </w:pPr>
      <w:r>
        <w:rPr>
          <w:bCs/>
          <w:b/>
        </w:rPr>
        <w:t xml:space="preserve">Liberdade de associação.</w:t>
      </w:r>
      <w:r>
        <w:t xml:space="preserve"> </w:t>
      </w:r>
      <w:r>
        <w:t xml:space="preserve">O Grupo respeita o direito de seus empregados de filiar-se ou constituir sindicatos e de negociar coletivamente onde a lei permitir, e não penaliza ninguém por fazê-lo. Onde a lei restringir esses direitos, o Grupo oferece meios paralelos para que os empregados levem preocupações coletivas ao Fundador e Diretor.</w:t>
      </w:r>
    </w:p>
    <w:p>
      <w:pPr>
        <w:numPr>
          <w:ilvl w:val="0"/>
          <w:numId w:val="1002"/>
        </w:numPr>
        <w:pStyle w:val="Compact"/>
      </w:pPr>
      <w:r>
        <w:rPr>
          <w:bCs/>
          <w:b/>
        </w:rPr>
        <w:t xml:space="preserve">Não discriminação e assédio.</w:t>
      </w:r>
      <w:r>
        <w:t xml:space="preserve"> </w:t>
      </w:r>
      <w:r>
        <w:t xml:space="preserve">As decisões de recrutamento, remuneração, treinamento, promoção e desligamento baseiam-se exclusivamente em competência e conduta. O Grupo não discrimina por raça, cor, etnia, origem nacional, religião, sexo, identidade de gênero, orientação sexual, idade, deficiência, estado civil, gravidez, filiação sindical, opinião política ou qualquer outra característica protegida por lei. Assédio, intimidação e abuso de qualquer natureza são proibidos.</w:t>
      </w:r>
    </w:p>
    <w:p>
      <w:pPr>
        <w:numPr>
          <w:ilvl w:val="0"/>
          <w:numId w:val="1002"/>
        </w:numPr>
        <w:pStyle w:val="Compact"/>
      </w:pPr>
      <w:r>
        <w:rPr>
          <w:bCs/>
          <w:b/>
        </w:rPr>
        <w:t xml:space="preserve">Salários e jornadas justos.</w:t>
      </w:r>
      <w:r>
        <w:t xml:space="preserve"> </w:t>
      </w:r>
      <w:r>
        <w:t xml:space="preserve">Os empregados recebem no mínimo o piso legal e, nos EAU, por meio do Sistema de Proteção Salarial (WPS) dentro do prazo exigido por lei. Jornada, descanso semanal, horas extras e férias seguem o Decreto-Lei Federal nº 33/2021 nos EAU e a CLT (Decreto-Lei 5.452/1943) no Brasil. Associados e subcontratados são pagos no prazo acordado, que não excede 30 dias a contar de fatura correta.</w:t>
      </w:r>
    </w:p>
    <w:p>
      <w:pPr>
        <w:numPr>
          <w:ilvl w:val="0"/>
          <w:numId w:val="1002"/>
        </w:numPr>
        <w:pStyle w:val="Compact"/>
      </w:pPr>
      <w:r>
        <w:rPr>
          <w:bCs/>
          <w:b/>
        </w:rPr>
        <w:t xml:space="preserve">Saúde e segurança.</w:t>
      </w:r>
      <w:r>
        <w:t xml:space="preserve"> </w:t>
      </w:r>
      <w:r>
        <w:t xml:space="preserve">As condições de trabalho atendem aos padrões da Política de Saúde, Segurança, Segurança Patrimonial e Meio Ambiente, inclusive para o pessoal em instalações de clientes e em viagens.</w:t>
      </w:r>
    </w:p>
    <w:p>
      <w:pPr>
        <w:numPr>
          <w:ilvl w:val="0"/>
          <w:numId w:val="1002"/>
        </w:numPr>
        <w:pStyle w:val="Compact"/>
      </w:pPr>
      <w:r>
        <w:rPr>
          <w:bCs/>
          <w:b/>
        </w:rPr>
        <w:t xml:space="preserve">Privacidade e dados.</w:t>
      </w:r>
      <w:r>
        <w:t xml:space="preserve"> </w:t>
      </w:r>
      <w:r>
        <w:t xml:space="preserve">O Grupo respeita a privacidade de seus empregados e dos usuários do Arcas GRC e do SetFit. O SetFit processa medições de composição corporal e de condicionamento físico, que são dados relacionados à saúde; o Grupo os coleta e utiliza apenas conforme descrito na Política de Privacidade e Proteção de Dados, com base legal no Decreto-Lei Federal nº 45/2021 (PDPL dos EAU), na Lei 13.709/2018 (LGPD) e, quando houver usuários na UE, no Regulamento (UE) 2016/679 (GDPR). Os personal trainers que utilizam o SetFit são contratualmente proibidos de usar os dados de saúde de seus alunos para qualquer finalidade diversa da prestação do serviço de treinamento acordado.</w:t>
      </w:r>
    </w:p>
    <w:p>
      <w:pPr>
        <w:numPr>
          <w:ilvl w:val="0"/>
          <w:numId w:val="1002"/>
        </w:numPr>
        <w:pStyle w:val="Compact"/>
      </w:pPr>
      <w:r>
        <w:rPr>
          <w:bCs/>
          <w:b/>
        </w:rPr>
        <w:t xml:space="preserve">Orientação de consultoria.</w:t>
      </w:r>
      <w:r>
        <w:t xml:space="preserve"> </w:t>
      </w:r>
      <w:r>
        <w:t xml:space="preserve">A orientação de HSSE do Grupo não é utilizada para ajudar cliente a se esquivar de obrigações legais para com trabalhadores, reprimir a representação dos trabalhadores ou ocultar incidente das autoridades. Quando o Grupo observar aparente violação de direitos humanos em instalação de cliente, comunica-a ao cliente por escrito.</w:t>
      </w:r>
    </w:p>
    <w:p>
      <w:pPr>
        <w:numPr>
          <w:ilvl w:val="0"/>
          <w:numId w:val="1002"/>
        </w:numPr>
        <w:pStyle w:val="Compact"/>
      </w:pPr>
      <w:r>
        <w:rPr>
          <w:bCs/>
          <w:b/>
        </w:rPr>
        <w:t xml:space="preserve">Cadeia de suprimentos: diligência prévia.</w:t>
      </w:r>
      <w:r>
        <w:t xml:space="preserve"> </w:t>
      </w:r>
      <w:r>
        <w:t xml:space="preserve">Antes de contratar subcontratado, fornecedor ou contraparte comercial, o Grupo verifica sua identidade, composição societária, situação perante listas de sanções e, para contrapartes de commodities, seu histórico trabalhista e ambiental, utilizando fontes públicas e as declarações da própria parte. Para contrapartes agrícolas brasileiras, isso inclui a consulta ao Cadastro de Empregadores que tenham submetido trabalhadores a condições análogas à de escravo, do Ministério do Trabalho (</w:t>
      </w:r>
      <w:r>
        <w:t xml:space="preserve">“</w:t>
      </w:r>
      <w:r>
        <w:t xml:space="preserve">Lista Suja</w:t>
      </w:r>
      <w:r>
        <w:t xml:space="preserve">”</w:t>
      </w:r>
      <w:r>
        <w:t xml:space="preserve">). Parte constante desse cadastro ou sujeita a sanções não é contratada.</w:t>
      </w:r>
    </w:p>
    <w:p>
      <w:pPr>
        <w:numPr>
          <w:ilvl w:val="0"/>
          <w:numId w:val="1002"/>
        </w:numPr>
        <w:pStyle w:val="Compact"/>
      </w:pPr>
      <w:r>
        <w:rPr>
          <w:bCs/>
          <w:b/>
        </w:rPr>
        <w:t xml:space="preserve">Cadeia de suprimentos: expectativas contratuais.</w:t>
      </w:r>
      <w:r>
        <w:t xml:space="preserve"> </w:t>
      </w:r>
      <w:r>
        <w:t xml:space="preserve">Os acordos escritos com subcontratados, fornecedores e contrapartes exigem o cumprimento dos padrões desta política, a cooperação com verificações razoáveis e a notificação imediata de qualquer alegação de trabalho forçado, trabalho infantil ou tráfico em suas operações. Os documentos das transações de commodities confirmam a origem das mercadorias.</w:t>
      </w:r>
    </w:p>
    <w:p>
      <w:pPr>
        <w:numPr>
          <w:ilvl w:val="0"/>
          <w:numId w:val="1002"/>
        </w:numPr>
        <w:pStyle w:val="Compact"/>
      </w:pPr>
      <w:r>
        <w:rPr>
          <w:bCs/>
          <w:b/>
        </w:rPr>
        <w:t xml:space="preserve">Cadeia de suprimentos: resposta.</w:t>
      </w:r>
      <w:r>
        <w:t xml:space="preserve"> </w:t>
      </w:r>
      <w:r>
        <w:t xml:space="preserve">Quando se constatar que um parceiro ou contraparte está em violação, o Grupo exige plano de correção com prazo. Se a violação for grave, envolver trabalho forçado ou infantil, ou não for corrigida, o Grupo encerra a relação e, quando exigido por lei, comunica o fato às autoridades.</w:t>
      </w:r>
    </w:p>
    <w:p>
      <w:pPr>
        <w:numPr>
          <w:ilvl w:val="0"/>
          <w:numId w:val="1002"/>
        </w:numPr>
        <w:pStyle w:val="Compact"/>
      </w:pPr>
      <w:r>
        <w:rPr>
          <w:bCs/>
          <w:b/>
        </w:rPr>
        <w:t xml:space="preserve">Especificidades do comércio de commodities.</w:t>
      </w:r>
      <w:r>
        <w:t xml:space="preserve"> </w:t>
      </w:r>
      <w:r>
        <w:t xml:space="preserve">O Grupo não intermedeia transações de mercadorias que saiba ou razoavelmente suspeite terem sido produzidas com trabalho forçado ou infantil, ou provenientes de área ilegalmente desmatada no Brasil. Registra os fundamentos de sua avaliação de cada nova contraparte.</w:t>
      </w:r>
    </w:p>
    <w:p>
      <w:pPr>
        <w:numPr>
          <w:ilvl w:val="0"/>
          <w:numId w:val="1002"/>
        </w:numPr>
        <w:pStyle w:val="Compact"/>
      </w:pPr>
      <w:r>
        <w:rPr>
          <w:bCs/>
          <w:b/>
        </w:rPr>
        <w:t xml:space="preserve">Mecanismo de queixas.</w:t>
      </w:r>
      <w:r>
        <w:t xml:space="preserve"> </w:t>
      </w:r>
      <w:r>
        <w:t xml:space="preserve">Qualquer pessoa afetada pelas operações ou relações do Grupo, incluindo trabalhadores de parceiros e contrapartes, pode apresentar queixa por meio de arildo@settigroup.com, por correio ao endereço registrado ou diretamente ao Fundador e Diretor. As queixas são confirmadas em até cinco dias úteis e respondidas em até 30 dias. O Grupo não retalia quem apresenta queixa de boa-fé e não tolera retaliação por parte de seus parceiros.</w:t>
      </w:r>
    </w:p>
    <w:p>
      <w:pPr>
        <w:numPr>
          <w:ilvl w:val="0"/>
          <w:numId w:val="1002"/>
        </w:numPr>
        <w:pStyle w:val="Compact"/>
      </w:pPr>
      <w:r>
        <w:rPr>
          <w:bCs/>
          <w:b/>
        </w:rPr>
        <w:t xml:space="preserve">Reparação.</w:t>
      </w:r>
      <w:r>
        <w:t xml:space="preserve"> </w:t>
      </w:r>
      <w:r>
        <w:t xml:space="preserve">Quando o Grupo tiver causado ou contribuído para um dano, fornece ou coopera na reparação proporcional ao dano. Quando estiver vinculado ao dano por meio de relação comercial, usa sua influência para assegurar a reparação.</w:t>
      </w:r>
    </w:p>
    <w:p>
      <w:pPr>
        <w:numPr>
          <w:ilvl w:val="0"/>
          <w:numId w:val="1002"/>
        </w:numPr>
        <w:pStyle w:val="Compact"/>
      </w:pPr>
      <w:r>
        <w:rPr>
          <w:bCs/>
          <w:b/>
        </w:rPr>
        <w:t xml:space="preserve">Treinamento e conscientização.</w:t>
      </w:r>
      <w:r>
        <w:t xml:space="preserve"> </w:t>
      </w:r>
      <w:r>
        <w:t xml:space="preserve">Todo o pessoal recebe orientação sobre esta política na integração e a cada análise crítica anual. O pessoal que aprova subcontratados, fornecedores ou contrapartes recebe orientação específica sobre as etapas de diligência prévia do requisito 9.</w:t>
      </w:r>
    </w:p>
    <w:p>
      <w:pPr>
        <w:numPr>
          <w:ilvl w:val="0"/>
          <w:numId w:val="1002"/>
        </w:numPr>
        <w:pStyle w:val="Compact"/>
      </w:pPr>
      <w:r>
        <w:rPr>
          <w:bCs/>
          <w:b/>
        </w:rPr>
        <w:t xml:space="preserve">Relato público.</w:t>
      </w:r>
      <w:r>
        <w:t xml:space="preserve"> </w:t>
      </w:r>
      <w:r>
        <w:t xml:space="preserve">Esta política é publicada em settigroup.com. A análise crítica anual registra as verificações de diligência prévia realizadas, as queixas recebidas e seu desfecho, e qualquer relação encerrada com base nesta política.</w:t>
      </w:r>
    </w:p>
    <w:bookmarkEnd w:id="24"/>
    <w:bookmarkStart w:id="25" w:name="comunicação-violações-e-consequências"/>
    <w:p>
      <w:pPr>
        <w:pStyle w:val="Heading2"/>
      </w:pPr>
      <w:r>
        <w:t xml:space="preserve">Comunicação, violações e consequências</w:t>
      </w:r>
    </w:p>
    <w:p>
      <w:pPr>
        <w:pStyle w:val="FirstParagraph"/>
      </w:pPr>
      <w:r>
        <w:t xml:space="preserve">Preocupações sobre direitos humanos, normas trabalhistas ou escravidão moderna nas operações ou na cadeia de suprimentos do Grupo podem ser comunicadas ao Fundador e Diretor, a arildo@settigroup.com. Os relatos também podem ser feitos por correio ao endereço registrado. Podem ser anônimos, são tratados com confidencialidade e nunca resultam em retaliação quando feitos de boa-fé.</w:t>
      </w:r>
    </w:p>
    <w:p>
      <w:pPr>
        <w:pStyle w:val="BodyText"/>
      </w:pPr>
      <w:r>
        <w:t xml:space="preserve">Qualquer pessoa do Grupo que participe, facilite ou oculte trabalho forçado, trabalho infantil, tráfico, discriminação ou assédio comete violação grave e estará sujeita a medida disciplinar, incluindo a rescisão do contrato de trabalho ou de prestação de serviços, e ao encaminhamento às autoridades quando a lei exigir. Parceiros e contrapartes em violação estão sujeitos à resposta prevista no requisito 11.</w:t>
      </w:r>
    </w:p>
    <w:bookmarkEnd w:id="25"/>
    <w:bookmarkStart w:id="26" w:name="políticas-relacionadas-e-referências"/>
    <w:p>
      <w:pPr>
        <w:pStyle w:val="Heading2"/>
      </w:pPr>
      <w:r>
        <w:t xml:space="preserve">Políticas relacionadas e referências</w:t>
      </w:r>
    </w:p>
    <w:p>
      <w:pPr>
        <w:numPr>
          <w:ilvl w:val="0"/>
          <w:numId w:val="1003"/>
        </w:numPr>
        <w:pStyle w:val="Compact"/>
      </w:pPr>
      <w:r>
        <w:t xml:space="preserve">Código de Conduta</w:t>
      </w:r>
    </w:p>
    <w:p>
      <w:pPr>
        <w:numPr>
          <w:ilvl w:val="0"/>
          <w:numId w:val="1003"/>
        </w:numPr>
        <w:pStyle w:val="Compact"/>
      </w:pPr>
      <w:r>
        <w:t xml:space="preserve">Política de Saúde, Segurança, Segurança Patrimonial e Meio Ambiente</w:t>
      </w:r>
    </w:p>
    <w:p>
      <w:pPr>
        <w:numPr>
          <w:ilvl w:val="0"/>
          <w:numId w:val="1003"/>
        </w:numPr>
        <w:pStyle w:val="Compact"/>
      </w:pPr>
      <w:r>
        <w:t xml:space="preserve">Política de Subcontratação e Parceiros Especialistas</w:t>
      </w:r>
    </w:p>
    <w:p>
      <w:pPr>
        <w:numPr>
          <w:ilvl w:val="0"/>
          <w:numId w:val="1003"/>
        </w:numPr>
        <w:pStyle w:val="Compact"/>
      </w:pPr>
      <w:r>
        <w:t xml:space="preserve">Política Anticorrupção e Antissuborno</w:t>
      </w:r>
    </w:p>
    <w:p>
      <w:pPr>
        <w:numPr>
          <w:ilvl w:val="0"/>
          <w:numId w:val="1003"/>
        </w:numPr>
        <w:pStyle w:val="Compact"/>
      </w:pPr>
      <w:r>
        <w:t xml:space="preserve">Política de Sanções, PLD e Conheça sua Contraparte</w:t>
      </w:r>
    </w:p>
    <w:p>
      <w:pPr>
        <w:numPr>
          <w:ilvl w:val="0"/>
          <w:numId w:val="1003"/>
        </w:numPr>
        <w:pStyle w:val="Compact"/>
      </w:pPr>
      <w:r>
        <w:t xml:space="preserve">Política de Privacidade e Proteção de Dados</w:t>
      </w:r>
    </w:p>
    <w:p>
      <w:pPr>
        <w:numPr>
          <w:ilvl w:val="0"/>
          <w:numId w:val="1003"/>
        </w:numPr>
        <w:pStyle w:val="Compact"/>
      </w:pPr>
      <w:r>
        <w:t xml:space="preserve">Política de Denúncias (Whistleblowing)</w:t>
      </w:r>
    </w:p>
    <w:p>
      <w:pPr>
        <w:numPr>
          <w:ilvl w:val="0"/>
          <w:numId w:val="1003"/>
        </w:numPr>
        <w:pStyle w:val="Compact"/>
      </w:pPr>
      <w:r>
        <w:t xml:space="preserve">Princípios Orientadores das Nações Unidas sobre Empresas e Direitos Humanos</w:t>
      </w:r>
    </w:p>
    <w:p>
      <w:pPr>
        <w:numPr>
          <w:ilvl w:val="0"/>
          <w:numId w:val="1003"/>
        </w:numPr>
        <w:pStyle w:val="Compact"/>
      </w:pPr>
      <w:r>
        <w:t xml:space="preserve">Convenções fundamentais da OIT (nº 29, 87, 98, 100, 105, 111, 138, 155, 182, 187)</w:t>
      </w:r>
    </w:p>
    <w:p>
      <w:pPr>
        <w:numPr>
          <w:ilvl w:val="0"/>
          <w:numId w:val="1003"/>
        </w:numPr>
        <w:pStyle w:val="Compact"/>
      </w:pPr>
      <w:r>
        <w:t xml:space="preserve">EAU: Decreto-Lei Federal nº 33/2021 (Lei do Trabalho)</w:t>
      </w:r>
    </w:p>
    <w:p>
      <w:pPr>
        <w:numPr>
          <w:ilvl w:val="0"/>
          <w:numId w:val="1003"/>
        </w:numPr>
        <w:pStyle w:val="Compact"/>
      </w:pPr>
      <w:r>
        <w:t xml:space="preserve">Brasil: CLT (Decreto-Lei 5.452/1943)</w:t>
      </w:r>
    </w:p>
    <w:p>
      <w:pPr>
        <w:numPr>
          <w:ilvl w:val="0"/>
          <w:numId w:val="1003"/>
        </w:numPr>
        <w:pStyle w:val="Compact"/>
      </w:pPr>
      <w:r>
        <w:t xml:space="preserve">EAU: Decreto-Lei Federal nº 45/2021 (PDPL); Brasil: Lei 13.709/2018 (LGPD); UE: Regulamento 2016/679 (GDPR)</w:t>
      </w:r>
    </w:p>
    <w:bookmarkEnd w:id="26"/>
    <w:bookmarkStart w:id="27" w:name="análise-crítica-e-aprovação"/>
    <w:p>
      <w:pPr>
        <w:pStyle w:val="Heading2"/>
      </w:pPr>
      <w:r>
        <w:t xml:space="preserve">Análise crítica e aprovação</w:t>
      </w:r>
    </w:p>
    <w:p>
      <w:pPr>
        <w:pStyle w:val="FirstParagraph"/>
      </w:pPr>
      <w:r>
        <w:t xml:space="preserve">Versão 1.0, vigente a partir de 1º de outubro de 2026. Aprovada pelo Fundador e Diretor, Setti Group. Esta política é revisada anualmente ou em caso de alteração relevante da legislação, das atividades do Grupo ou de sua cadeia de suprimentos. Dúvidas devem ser encaminhadas a arildo@settigroup.com.</w:t>
      </w:r>
    </w:p>
    <w:p>
      <w:pPr>
        <w:pStyle w:val="BlockText"/>
      </w:pPr>
      <w:r>
        <w:t xml:space="preserve">Minuta preparada para revisão jurídica. Sem efeito até aprovação e assinatura.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pt-B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Direitos Humanos e Normas Trabalhistas</dc:title>
  <dc:creator/>
  <dc:language>pt-BR</dc:language>
  <cp:keywords/>
  <dcterms:created xsi:type="dcterms:W3CDTF">2026-09-28T13:23:12Z</dcterms:created>
  <dcterms:modified xsi:type="dcterms:W3CDTF">2026-09-28T13:23:12Z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human-rights-labour</vt:lpwstr>
  </property>
  <property fmtid="{D5CDD505-2E9C-101B-9397-08002B2CF9AE}" pid="5" name="owner">
    <vt:lpwstr>Fundador e Diretor, Setti Group</vt:lpwstr>
  </property>
  <property fmtid="{D5CDD505-2E9C-101B-9397-08002B2CF9AE}" pid="6" name="summary">
    <vt:lpwstr>Declara o compromisso do Setti Group de respeitar os direitos humanos e normas trabalhistas justas em suas próprias operações e de exigir o mesmo de seus subcontratados, fornecedores e contrapartes no comércio de commodities, servindo também como declaração do Grupo contra a escravidão moderna.</vt:lpwstr>
  </property>
  <property fmtid="{D5CDD505-2E9C-101B-9397-08002B2CF9AE}" pid="7" name="version">
    <vt:lpwstr>1.0</vt:lpwstr>
  </property>
</Properties>
</file>