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Canal de Denúncias e Não Retaliação</w:t>
      </w:r>
    </w:p>
    <w:bookmarkStart w:id="20" w:name="finalidade-e-abrangência"/>
    <w:p>
      <w:pPr>
        <w:pStyle w:val="Heading2"/>
      </w:pPr>
      <w:r>
        <w:t xml:space="preserve">Finalidade e abrangência</w:t>
      </w:r>
    </w:p>
    <w:p>
      <w:pPr>
        <w:pStyle w:val="FirstParagraph"/>
      </w:pPr>
      <w:r>
        <w:t xml:space="preserve">Esta política estabelece como preocupações sobre irregularidades na Setti Group podem ser levantadas e como o Grupo responderá. Aplica-se à</w:t>
      </w:r>
      <w:r>
        <w:t xml:space="preserve"> </w:t>
      </w:r>
      <w:r>
        <w:rPr>
          <w:bCs/>
          <w:b/>
        </w:rPr>
        <w:t xml:space="preserve">Setti Group FZC</w:t>
      </w:r>
      <w:r>
        <w:t xml:space="preserve"> </w:t>
      </w:r>
      <w:r>
        <w:t xml:space="preserve">(Sharjah Publishing City Free Zone, EAU)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Relatos podem ser feitos por qualquer pessoa: Colaboradores de qualquer das entidades, ex-Colaboradores, participantes de treinamentos, usuários do SetFit e do Arcas GRC, clientes, fornecedores, agentes, contrapartes de trading (incluindo pessoal da BS Agrícola Ltda) e o público em geral. A política abrange qualquer suspeita de violação de lei ou de política do Grupo, incluindo suborno, fraude, violação de sanções, conflitos de interesse, assédio, discriminação, condições de trabalho inseguras, uso indevido de dados pessoais (incluindo dados de saúde e condicionamento físico do SetFit) e qualquer tentativa de ocultar tais fatos.</w:t>
      </w:r>
    </w:p>
    <w:bookmarkEnd w:id="20"/>
    <w:bookmarkStart w:id="21" w:name="declaração-de-política"/>
    <w:p>
      <w:pPr>
        <w:pStyle w:val="Heading2"/>
      </w:pPr>
      <w:r>
        <w:t xml:space="preserve">Declaração de política</w:t>
      </w:r>
    </w:p>
    <w:p>
      <w:pPr>
        <w:pStyle w:val="FirstParagraph"/>
      </w:pPr>
      <w:r>
        <w:t xml:space="preserve">A Setti Group quer saber dos problemas cedo, enquanto ainda podem ser corrigidos. Quem levantar uma preocupação de boa-fé será ouvido, levado a sério e protegido. Retaliação contra quem reporta, em qualquer forma, é proibida e constitui, por si só, violação grave sujeita a medida disciplinar. Os relatos podem ser feitos de forma aberta, confidencial ou anônima. Como o Grupo é pequeno e o Fundador e Diretor toma a maioria das decisões, esta política prevê um revisor externo independente sempre que um relato o envolver.</w:t>
      </w:r>
    </w:p>
    <w:bookmarkEnd w:id="21"/>
    <w:bookmarkStart w:id="22" w:name="definições"/>
    <w:p>
      <w:pPr>
        <w:pStyle w:val="Heading2"/>
      </w:pPr>
      <w:r>
        <w:t xml:space="preserve">Definições</w:t>
      </w:r>
    </w:p>
    <w:p>
      <w:pPr>
        <w:numPr>
          <w:ilvl w:val="0"/>
          <w:numId w:val="1001"/>
        </w:numPr>
        <w:pStyle w:val="Compact"/>
      </w:pPr>
      <w:r>
        <w:rPr>
          <w:bCs/>
          <w:b/>
        </w:rPr>
        <w:t xml:space="preserve">Relato</w:t>
      </w:r>
      <w:r>
        <w:t xml:space="preserve"> </w:t>
      </w:r>
      <w:r>
        <w:t xml:space="preserve">ou</w:t>
      </w:r>
      <w:r>
        <w:t xml:space="preserve"> </w:t>
      </w:r>
      <w:r>
        <w:rPr>
          <w:bCs/>
          <w:b/>
        </w:rPr>
        <w:t xml:space="preserve">preocupação</w:t>
      </w:r>
      <w:r>
        <w:t xml:space="preserve">: informação sobre suspeita de irregularidade, passada, presente ou planejada, que o relator razoavelmente acredita ser verdadeira.</w:t>
      </w:r>
    </w:p>
    <w:p>
      <w:pPr>
        <w:numPr>
          <w:ilvl w:val="0"/>
          <w:numId w:val="1001"/>
        </w:numPr>
        <w:pStyle w:val="Compact"/>
      </w:pPr>
      <w:r>
        <w:rPr>
          <w:bCs/>
          <w:b/>
        </w:rPr>
        <w:t xml:space="preserve">Boa-fé</w:t>
      </w:r>
      <w:r>
        <w:t xml:space="preserve">: crença honesta de que a informação relatada é verdadeira, ainda que depois se prove equivocada. Relato feito com conhecimento de sua falsidade não é de boa-fé.</w:t>
      </w:r>
    </w:p>
    <w:p>
      <w:pPr>
        <w:numPr>
          <w:ilvl w:val="0"/>
          <w:numId w:val="1001"/>
        </w:numPr>
        <w:pStyle w:val="Compact"/>
      </w:pPr>
      <w:r>
        <w:rPr>
          <w:bCs/>
          <w:b/>
        </w:rPr>
        <w:t xml:space="preserve">Relator</w:t>
      </w:r>
      <w:r>
        <w:t xml:space="preserve">: qualquer pessoa que faça um relato sob esta política.</w:t>
      </w:r>
    </w:p>
    <w:p>
      <w:pPr>
        <w:numPr>
          <w:ilvl w:val="0"/>
          <w:numId w:val="1001"/>
        </w:numPr>
        <w:pStyle w:val="Compact"/>
      </w:pPr>
      <w:r>
        <w:rPr>
          <w:bCs/>
          <w:b/>
        </w:rPr>
        <w:t xml:space="preserve">Retaliação</w:t>
      </w:r>
      <w:r>
        <w:t xml:space="preserve">: qualquer ato ou omissão prejudicial praticado porque uma pessoa fez, ou se acredita que fez ou apoiou, um relato: demissão, rebaixamento, perda de horas ou de tarefas, retenção de salário ou comissão, ameaças, assédio, exclusão, referências negativas, rescisão de contrato ou de acesso à plataforma, ou comunicação da pessoa às autoridades com finalidade imprópria.</w:t>
      </w:r>
    </w:p>
    <w:p>
      <w:pPr>
        <w:numPr>
          <w:ilvl w:val="0"/>
          <w:numId w:val="1001"/>
        </w:numPr>
        <w:pStyle w:val="Compact"/>
      </w:pPr>
      <w:r>
        <w:rPr>
          <w:bCs/>
          <w:b/>
        </w:rPr>
        <w:t xml:space="preserve">Revisor externo independente</w:t>
      </w:r>
      <w:r>
        <w:t xml:space="preserve">: advogado, auditor ou profissional de compliance sem vínculo financeiro ou pessoal com o Fundador e Diretor, designado para tratar relato em que ele esteja implicado.</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esta política, recebe e investiga relatos, decide sobre medidas corretivas e disciplinares, protege relatores e mantém o registro de relatos.</w:t>
      </w:r>
    </w:p>
    <w:p>
      <w:pPr>
        <w:numPr>
          <w:ilvl w:val="0"/>
          <w:numId w:val="1002"/>
        </w:numPr>
        <w:pStyle w:val="Compact"/>
      </w:pPr>
      <w:r>
        <w:t xml:space="preserve">Um</w:t>
      </w:r>
      <w:r>
        <w:t xml:space="preserve"> </w:t>
      </w:r>
      <w:r>
        <w:rPr>
          <w:bCs/>
          <w:b/>
        </w:rPr>
        <w:t xml:space="preserve">revisor externo independente</w:t>
      </w:r>
      <w:r>
        <w:t xml:space="preserve"> </w:t>
      </w:r>
      <w:r>
        <w:t xml:space="preserve">recebe, investiga e reporta sobre qualquer preocupação que implique o Fundador e Diretor, e pode ser designado para outros casos em que a independência seja necessária.</w:t>
      </w:r>
    </w:p>
    <w:p>
      <w:pPr>
        <w:numPr>
          <w:ilvl w:val="0"/>
          <w:numId w:val="1002"/>
        </w:numPr>
        <w:pStyle w:val="Compact"/>
      </w:pPr>
      <w:r>
        <w:t xml:space="preserve">Os</w:t>
      </w:r>
      <w:r>
        <w:t xml:space="preserve"> </w:t>
      </w:r>
      <w:r>
        <w:rPr>
          <w:bCs/>
          <w:b/>
        </w:rPr>
        <w:t xml:space="preserve">Colaboradores</w:t>
      </w:r>
      <w:r>
        <w:t xml:space="preserve"> </w:t>
      </w:r>
      <w:r>
        <w:t xml:space="preserve">devem reportar suspeitas de irregularidade, cooperar com honestidade nas investigações, manter a confidencialidade das investigações e jamais retaliar.</w:t>
      </w:r>
    </w:p>
    <w:p>
      <w:pPr>
        <w:numPr>
          <w:ilvl w:val="0"/>
          <w:numId w:val="1002"/>
        </w:numPr>
        <w:pStyle w:val="Compact"/>
      </w:pPr>
      <w:r>
        <w:t xml:space="preserve">O</w:t>
      </w:r>
      <w:r>
        <w:t xml:space="preserve"> </w:t>
      </w:r>
      <w:r>
        <w:rPr>
          <w:bCs/>
          <w:b/>
        </w:rPr>
        <w:t xml:space="preserve">contato de compliance</w:t>
      </w:r>
      <w:r>
        <w:t xml:space="preserve"> </w:t>
      </w:r>
      <w:r>
        <w:t xml:space="preserve">(arildo@settigroup.com) responde a dúvidas gerais sobre esta política.</w:t>
      </w:r>
    </w:p>
    <w:bookmarkEnd w:id="23"/>
    <w:bookmarkStart w:id="24" w:name="requisitos"/>
    <w:p>
      <w:pPr>
        <w:pStyle w:val="Heading2"/>
      </w:pPr>
      <w:r>
        <w:t xml:space="preserve">Requisitos</w:t>
      </w:r>
    </w:p>
    <w:p>
      <w:pPr>
        <w:numPr>
          <w:ilvl w:val="0"/>
          <w:numId w:val="1003"/>
        </w:numPr>
        <w:pStyle w:val="Compact"/>
      </w:pPr>
      <w:r>
        <w:rPr>
          <w:bCs/>
          <w:b/>
        </w:rPr>
        <w:t xml:space="preserve">Canais.</w:t>
      </w:r>
      <w:r>
        <w:t xml:space="preserve"> </w:t>
      </w:r>
      <w:r>
        <w:t xml:space="preserve">Os relatos podem ser feitos: por e-mail a arildo@settigroup.com; por correio, com a indicação</w:t>
      </w:r>
      <w:r>
        <w:t xml:space="preserve"> </w:t>
      </w:r>
      <w:r>
        <w:t xml:space="preserve">“</w:t>
      </w:r>
      <w:r>
        <w:t xml:space="preserve">Confidencial — Canal de Denúncias</w:t>
      </w:r>
      <w:r>
        <w:t xml:space="preserve">”</w:t>
      </w:r>
      <w:r>
        <w:t xml:space="preserve">, ao endereço registrado da Setti Group FZC na Sharjah Publishing City Free Zone ou da Setti Group Ltda em Fortaleza, Ceará; pessoalmente ou por telefone ao Fundador e Diretor; ou, quando o Fundador e Diretor estiver implicado, ao revisor externo independente, cujos dados de contato são publicados em settigroup.com. O canal de e-mail é monitorado exclusivamente pelo Fundador e Diretor.</w:t>
      </w:r>
    </w:p>
    <w:p>
      <w:pPr>
        <w:numPr>
          <w:ilvl w:val="0"/>
          <w:numId w:val="1003"/>
        </w:numPr>
        <w:pStyle w:val="Compact"/>
      </w:pPr>
      <w:r>
        <w:rPr>
          <w:bCs/>
          <w:b/>
        </w:rPr>
        <w:t xml:space="preserve">Relatos anônimos são aceitos.</w:t>
      </w:r>
      <w:r>
        <w:t xml:space="preserve"> </w:t>
      </w:r>
      <w:r>
        <w:t xml:space="preserve">Os relatores podem omitir sua identidade. O Grupo investigará relato anônimo na medida em que a informação permitir. Os relatores são incentivados, mas nunca obrigados, a fornecer um meio de contato para que perguntas possam ser feitas e o resultado compartilhado.</w:t>
      </w:r>
    </w:p>
    <w:p>
      <w:pPr>
        <w:numPr>
          <w:ilvl w:val="0"/>
          <w:numId w:val="1003"/>
        </w:numPr>
        <w:pStyle w:val="Compact"/>
      </w:pPr>
      <w:r>
        <w:rPr>
          <w:bCs/>
          <w:b/>
        </w:rPr>
        <w:t xml:space="preserve">O que incluir.</w:t>
      </w:r>
      <w:r>
        <w:t xml:space="preserve"> </w:t>
      </w:r>
      <w:r>
        <w:t xml:space="preserve">Um relato útil informa o que aconteceu, quando, onde, quem estava envolvido, como o relator sabe e se há documentos ou testemunhas. Os relatores não devem reunir provas por meios que violem a lei ou as políticas do Grupo.</w:t>
      </w:r>
    </w:p>
    <w:p>
      <w:pPr>
        <w:numPr>
          <w:ilvl w:val="0"/>
          <w:numId w:val="1003"/>
        </w:numPr>
        <w:pStyle w:val="Compact"/>
      </w:pPr>
      <w:r>
        <w:rPr>
          <w:bCs/>
          <w:b/>
        </w:rPr>
        <w:t xml:space="preserve">Confirmação de recebimento.</w:t>
      </w:r>
      <w:r>
        <w:t xml:space="preserve"> </w:t>
      </w:r>
      <w:r>
        <w:t xml:space="preserve">Todo relato recebido por canal que permita resposta é confirmado por escrito em até cinco dias úteis.</w:t>
      </w:r>
    </w:p>
    <w:p>
      <w:pPr>
        <w:numPr>
          <w:ilvl w:val="0"/>
          <w:numId w:val="1003"/>
        </w:numPr>
        <w:pStyle w:val="Compact"/>
      </w:pPr>
      <w:r>
        <w:rPr>
          <w:bCs/>
          <w:b/>
        </w:rPr>
        <w:t xml:space="preserve">Avaliação inicial.</w:t>
      </w:r>
      <w:r>
        <w:t xml:space="preserve"> </w:t>
      </w:r>
      <w:r>
        <w:t xml:space="preserve">Em até dez dias úteis do recebimento, o Fundador e Diretor (ou o revisor externo independente) registra se o relato se enquadra nesta política, se exige investigação e quem investigará. Assuntos fora desta política, como reclamações comuns de clientes ou pedidos de suporte do SetFit, são redirecionados ao canal adequado, com aviso ao relator.</w:t>
      </w:r>
    </w:p>
    <w:p>
      <w:pPr>
        <w:numPr>
          <w:ilvl w:val="0"/>
          <w:numId w:val="1003"/>
        </w:numPr>
        <w:pStyle w:val="Compact"/>
      </w:pPr>
      <w:r>
        <w:rPr>
          <w:bCs/>
          <w:b/>
        </w:rPr>
        <w:t xml:space="preserve">Relatos que envolvem o Fundador e Diretor.</w:t>
      </w:r>
      <w:r>
        <w:t xml:space="preserve"> </w:t>
      </w:r>
      <w:r>
        <w:t xml:space="preserve">Quando um relato alegar irregularidade do Fundador e Diretor, ou quando seu interesse pessoal ou financeiro puder razoavelmente afetar o resultado, o relato deve ser tratado pelo revisor externo independente. O revisor investiga, reporta as conclusões por escrito e recomenda medidas. O Fundador e Diretor não pode acessar o relato, identificar o relator nem participar da investigação.</w:t>
      </w:r>
    </w:p>
    <w:p>
      <w:pPr>
        <w:numPr>
          <w:ilvl w:val="0"/>
          <w:numId w:val="1003"/>
        </w:numPr>
        <w:pStyle w:val="Compact"/>
      </w:pPr>
      <w:r>
        <w:rPr>
          <w:bCs/>
          <w:b/>
        </w:rPr>
        <w:t xml:space="preserve">Investigação.</w:t>
      </w:r>
      <w:r>
        <w:t xml:space="preserve"> </w:t>
      </w:r>
      <w:r>
        <w:t xml:space="preserve">As investigações são proporcionais, justas e documentadas. A pessoa investigada é informada das alegações em momento adequado e tem oportunidade de resposta, salvo se isso prejudicar a investigação. As investigações são normalmente concluídas em 60 dias; se for necessário mais tempo, o relator é informado.</w:t>
      </w:r>
    </w:p>
    <w:p>
      <w:pPr>
        <w:numPr>
          <w:ilvl w:val="0"/>
          <w:numId w:val="1003"/>
        </w:numPr>
        <w:pStyle w:val="Compact"/>
      </w:pPr>
      <w:r>
        <w:rPr>
          <w:bCs/>
          <w:b/>
        </w:rPr>
        <w:t xml:space="preserve">Confidencialidade.</w:t>
      </w:r>
      <w:r>
        <w:t xml:space="preserve"> </w:t>
      </w:r>
      <w:r>
        <w:t xml:space="preserve">A identidade do relator, das pessoas citadas e das testemunhas é mantida confidencial e revelada apenas a quem precise saber para investigar, ou quando a revelação for exigida por lei ou por regulador. Relatos e arquivos de investigação são armazenados separadamente dos arquivos de pessoal, com acesso limitado ao investigador.</w:t>
      </w:r>
    </w:p>
    <w:p>
      <w:pPr>
        <w:numPr>
          <w:ilvl w:val="0"/>
          <w:numId w:val="1003"/>
        </w:numPr>
        <w:pStyle w:val="Compact"/>
      </w:pPr>
      <w:r>
        <w:rPr>
          <w:bCs/>
          <w:b/>
        </w:rPr>
        <w:t xml:space="preserve">Não retaliação.</w:t>
      </w:r>
      <w:r>
        <w:t xml:space="preserve"> </w:t>
      </w:r>
      <w:r>
        <w:t xml:space="preserve">Nenhum Colaborador, contratado, cliente ou parceiro de negócios pode retaliar uma pessoa por fazer, apoiar ou cooperar com um relato de boa-fé. Qualquer medida adversa contra um relator nos 12 meses seguintes ao relato será examinada pelo Fundador e Diretor, ou pelo revisor externo independente, antes de produzir efeitos.</w:t>
      </w:r>
    </w:p>
    <w:p>
      <w:pPr>
        <w:numPr>
          <w:ilvl w:val="0"/>
          <w:numId w:val="1003"/>
        </w:numPr>
        <w:pStyle w:val="Compact"/>
      </w:pPr>
      <w:r>
        <w:rPr>
          <w:bCs/>
          <w:b/>
        </w:rPr>
        <w:t xml:space="preserve">A proteção se estende a</w:t>
      </w:r>
      <w:r>
        <w:t xml:space="preserve"> </w:t>
      </w:r>
      <w:r>
        <w:t xml:space="preserve">testemunhas, pessoas que auxiliem uma investigação e pessoas erroneamente tidas como relatoras. A proteção também se aplica quando o relato se revelar infundado, desde que feito de boa-fé.</w:t>
      </w:r>
    </w:p>
    <w:p>
      <w:pPr>
        <w:numPr>
          <w:ilvl w:val="0"/>
          <w:numId w:val="1003"/>
        </w:numPr>
        <w:pStyle w:val="Compact"/>
      </w:pPr>
      <w:r>
        <w:rPr>
          <w:bCs/>
          <w:b/>
        </w:rPr>
        <w:t xml:space="preserve">Relatos maliciosos.</w:t>
      </w:r>
      <w:r>
        <w:t xml:space="preserve"> </w:t>
      </w:r>
      <w:r>
        <w:t xml:space="preserve">Relato feito com conhecimento de sua falsidade ou com finalidade imprópria não é protegido e pode resultar em medida disciplinar.</w:t>
      </w:r>
    </w:p>
    <w:p>
      <w:pPr>
        <w:numPr>
          <w:ilvl w:val="0"/>
          <w:numId w:val="1003"/>
        </w:numPr>
        <w:pStyle w:val="Compact"/>
      </w:pPr>
      <w:r>
        <w:rPr>
          <w:bCs/>
          <w:b/>
        </w:rPr>
        <w:t xml:space="preserve">Comunicação externa.</w:t>
      </w:r>
      <w:r>
        <w:t xml:space="preserve"> </w:t>
      </w:r>
      <w:r>
        <w:t xml:space="preserve">Nada nesta política impede uma pessoa de reportar a autoridade competente, regulador ou órgão de aplicação da lei nos EAU, no Brasil ou em qualquer outra jurisdição, nem de exercer direitos previstos na legislação trabalhista aplicável (Decreto-Lei Federal nº 33/2021 dos EAU ou CLT), na LGPD, na PDPL ou no GDPR. Os dados pessoais contidos em relatos são tratados conforme as obrigações de privacidade do Grupo; dúvidas: arildo@settigroup.com.</w:t>
      </w:r>
    </w:p>
    <w:p>
      <w:pPr>
        <w:numPr>
          <w:ilvl w:val="0"/>
          <w:numId w:val="1003"/>
        </w:numPr>
        <w:pStyle w:val="Compact"/>
      </w:pPr>
      <w:r>
        <w:rPr>
          <w:bCs/>
          <w:b/>
        </w:rPr>
        <w:t xml:space="preserve">Resultado.</w:t>
      </w:r>
      <w:r>
        <w:t xml:space="preserve"> </w:t>
      </w:r>
      <w:r>
        <w:t xml:space="preserve">Os relatores que forneceram contato são informados, nos limites da confidencialidade e da lei, se a investigação confirmou a preocupação e, em termos gerais, que medida foi tomada.</w:t>
      </w:r>
    </w:p>
    <w:p>
      <w:pPr>
        <w:numPr>
          <w:ilvl w:val="0"/>
          <w:numId w:val="1003"/>
        </w:numPr>
        <w:pStyle w:val="Compact"/>
      </w:pPr>
      <w:r>
        <w:rPr>
          <w:bCs/>
          <w:b/>
        </w:rPr>
        <w:t xml:space="preserve">Registros.</w:t>
      </w:r>
      <w:r>
        <w:t xml:space="preserve"> </w:t>
      </w:r>
      <w:r>
        <w:t xml:space="preserve">Um registro de todos os relatos, avaliações, investigações e resultados é mantido pelo Fundador e Diretor (com os arquivos do revisor independente mantidos pelo revisor) por pelo menos 10 anos, e fica disponível a clientes, de forma anonimizada, conforme direitos contratuais de auditoria.</w:t>
      </w:r>
    </w:p>
    <w:p>
      <w:pPr>
        <w:numPr>
          <w:ilvl w:val="0"/>
          <w:numId w:val="1003"/>
        </w:numPr>
        <w:pStyle w:val="Compact"/>
      </w:pPr>
      <w:r>
        <w:rPr>
          <w:bCs/>
          <w:b/>
        </w:rPr>
        <w:t xml:space="preserve">Divulgação.</w:t>
      </w:r>
      <w:r>
        <w:t xml:space="preserve"> </w:t>
      </w:r>
      <w:r>
        <w:t xml:space="preserve">Esta política é publicada em settigroup.com, incluída na integração de todos os Colaboradores e nos materiais dos participantes de treinamentos, e referenciada nos termos de uso do SetFit e do Arcas GRC e nos contratos com agentes e contrapartes.</w:t>
      </w:r>
    </w:p>
    <w:bookmarkEnd w:id="24"/>
    <w:bookmarkStart w:id="25" w:name="comunicação-violações-e-consequências"/>
    <w:p>
      <w:pPr>
        <w:pStyle w:val="Heading2"/>
      </w:pPr>
      <w:r>
        <w:t xml:space="preserve">Comunicação, violações e consequências</w:t>
      </w:r>
    </w:p>
    <w:p>
      <w:pPr>
        <w:pStyle w:val="FirstParagraph"/>
      </w:pPr>
      <w:r>
        <w:t xml:space="preserve">Violações desta política incluem retaliar um relator, obstruir uma investigação, quebrar a confidencialidade e fazer relato sabidamente falso. A retaliação é tratada como falta grave: as consequências incluem rescisão do contrato de trabalho ou de prestação de serviços nos termos da legislação trabalhista aplicável, afastamento do projeto, encerramento do acesso à plataforma ou do relacionamento comercial e comunicação às autoridades quando a retaliação for, ela própria, ilícita.</w:t>
      </w:r>
    </w:p>
    <w:p>
      <w:pPr>
        <w:pStyle w:val="BodyText"/>
      </w:pPr>
      <w:r>
        <w:t xml:space="preserve">Quando a investigação confirmar a irregularidade, o Fundador e Diretor (ou, por recomendação do revisor externo independente, o decisor competente) tomará as medidas corretivas previstas na política pertinente, incluindo o Código de Conduta e Ética Empresarial e a Política Anticorrupção e Antissuborno, e fará a autodenúncia às autoridades quando a lei exigir.</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Código de Conduta e Ética Empresarial</w:t>
      </w:r>
    </w:p>
    <w:p>
      <w:pPr>
        <w:numPr>
          <w:ilvl w:val="0"/>
          <w:numId w:val="1004"/>
        </w:numPr>
        <w:pStyle w:val="Compact"/>
      </w:pPr>
      <w:r>
        <w:t xml:space="preserve">Política Anticorrupção e Antissuborno</w:t>
      </w:r>
    </w:p>
    <w:p>
      <w:pPr>
        <w:numPr>
          <w:ilvl w:val="0"/>
          <w:numId w:val="1004"/>
        </w:numPr>
        <w:pStyle w:val="Compact"/>
      </w:pPr>
      <w:r>
        <w:t xml:space="preserve">Política de Conflitos de Interesse, Presentes e Hospitalidade</w:t>
      </w:r>
    </w:p>
    <w:p>
      <w:pPr>
        <w:numPr>
          <w:ilvl w:val="0"/>
          <w:numId w:val="1004"/>
        </w:numPr>
        <w:pStyle w:val="Compact"/>
      </w:pPr>
      <w:r>
        <w:t xml:space="preserve">Política de Sanções, Controle de Exportação e Compliance Comercial</w:t>
      </w:r>
    </w:p>
    <w:p>
      <w:pPr>
        <w:numPr>
          <w:ilvl w:val="0"/>
          <w:numId w:val="1004"/>
        </w:numPr>
        <w:pStyle w:val="Compact"/>
      </w:pPr>
      <w:r>
        <w:t xml:space="preserve">Política de Due Diligence de Terceiros e KYC</w:t>
      </w:r>
    </w:p>
    <w:p>
      <w:pPr>
        <w:numPr>
          <w:ilvl w:val="0"/>
          <w:numId w:val="1004"/>
        </w:numPr>
        <w:pStyle w:val="Compact"/>
      </w:pPr>
      <w:r>
        <w:t xml:space="preserve">EAU: Decreto-Lei Federal nº 33/2021 (Lei Trabalhista); Decreto-Lei Federal nº 45/2021 (PDPL)</w:t>
      </w:r>
    </w:p>
    <w:p>
      <w:pPr>
        <w:numPr>
          <w:ilvl w:val="0"/>
          <w:numId w:val="1004"/>
        </w:numPr>
        <w:pStyle w:val="Compact"/>
      </w:pPr>
      <w:r>
        <w:t xml:space="preserve">Brasil: Lei 12.846/2013 e Decreto 11.129/2022; CLT (Decreto-Lei 5.452/1943); Lei 13.709/2018 (LGPD)</w:t>
      </w:r>
    </w:p>
    <w:p>
      <w:pPr>
        <w:numPr>
          <w:ilvl w:val="0"/>
          <w:numId w:val="1004"/>
        </w:numPr>
        <w:pStyle w:val="Compact"/>
      </w:pPr>
      <w:r>
        <w:t xml:space="preserve">GDPR (Regulamento UE 2016/679); Princípios Orientadores da ONU sobre Empresas e Direitos Humanos; ISO 37001 (apenas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alteração relevante da lei, e após cada investigação, para incorporar as lições aprendidas.</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Canal de Denúncias e Não Retaliação</dc:title>
  <dc:creator/>
  <dc:language>pt-BR</dc:language>
  <cp:keywords/>
  <dcterms:created xsi:type="dcterms:W3CDTF">2026-09-28T13:23:15Z</dcterms:created>
  <dcterms:modified xsi:type="dcterms:W3CDTF">2026-09-28T13:23:15Z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whistleblowing</vt:lpwstr>
  </property>
  <property fmtid="{D5CDD505-2E9C-101B-9397-08002B2CF9AE}" pid="5" name="owner">
    <vt:lpwstr>Fundador e Diretor, Setti Group</vt:lpwstr>
  </property>
  <property fmtid="{D5CDD505-2E9C-101B-9397-08002B2CF9AE}" pid="6" name="summary">
    <vt:lpwstr>Explica como qualquer pessoa pode reportar suspeitas de irregularidade na Setti Group, inclusive anonimamente, como os relatos são tratados e a proteção dada contra retaliação.</vt:lpwstr>
  </property>
  <property fmtid="{D5CDD505-2E9C-101B-9397-08002B2CF9AE}" pid="7" name="version">
    <vt:lpwstr>1.0</vt:lpwstr>
  </property>
</Properties>
</file>